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F76E" w14:textId="4835A6C2"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i/>
          <w:iCs/>
          <w:color w:val="000000" w:themeColor="text1"/>
          <w:sz w:val="24"/>
          <w:szCs w:val="24"/>
        </w:rPr>
        <w:t>Absender</w:t>
      </w:r>
    </w:p>
    <w:p w14:paraId="608692FC" w14:textId="77777777" w:rsidR="005C151B" w:rsidRDefault="005C151B" w:rsidP="57C75DE8">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w:t>
      </w:r>
    </w:p>
    <w:p w14:paraId="4C0AD07F" w14:textId="77777777" w:rsidR="005C151B" w:rsidRDefault="005C151B" w:rsidP="005C151B">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w:t>
      </w:r>
    </w:p>
    <w:p w14:paraId="6D08B894" w14:textId="77777777" w:rsidR="005C151B" w:rsidRDefault="005C151B" w:rsidP="005C151B">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w:t>
      </w:r>
    </w:p>
    <w:p w14:paraId="7CB807A2" w14:textId="49997AB7" w:rsidR="001B7574" w:rsidRDefault="001B7574" w:rsidP="57C75DE8">
      <w:pPr>
        <w:spacing w:after="0" w:line="240" w:lineRule="auto"/>
        <w:rPr>
          <w:rFonts w:ascii="Arial" w:eastAsia="Arial" w:hAnsi="Arial" w:cs="Arial"/>
          <w:color w:val="000000" w:themeColor="text1"/>
          <w:sz w:val="24"/>
          <w:szCs w:val="24"/>
        </w:rPr>
      </w:pPr>
    </w:p>
    <w:p w14:paraId="2AE84587" w14:textId="4FEE1DAD" w:rsidR="001B7574" w:rsidRDefault="001B7574" w:rsidP="57C75DE8">
      <w:pPr>
        <w:spacing w:after="0" w:line="240" w:lineRule="auto"/>
        <w:rPr>
          <w:rFonts w:ascii="Arial" w:eastAsia="Arial" w:hAnsi="Arial" w:cs="Arial"/>
          <w:color w:val="000000" w:themeColor="text1"/>
          <w:sz w:val="24"/>
          <w:szCs w:val="24"/>
        </w:rPr>
      </w:pPr>
    </w:p>
    <w:p w14:paraId="0CC1755A" w14:textId="22AD194A" w:rsidR="001B7574" w:rsidRDefault="001B7574" w:rsidP="57C75DE8">
      <w:pPr>
        <w:spacing w:after="0" w:line="240" w:lineRule="auto"/>
        <w:rPr>
          <w:rFonts w:ascii="Arial" w:eastAsia="Arial" w:hAnsi="Arial" w:cs="Arial"/>
          <w:color w:val="000000" w:themeColor="text1"/>
          <w:sz w:val="24"/>
          <w:szCs w:val="24"/>
        </w:rPr>
      </w:pPr>
    </w:p>
    <w:p w14:paraId="606C45FE" w14:textId="33619CBC"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An das</w:t>
      </w:r>
    </w:p>
    <w:p w14:paraId="35EF690A" w14:textId="7D016AD9" w:rsidR="001B7574" w:rsidRDefault="001B7574" w:rsidP="57C75DE8">
      <w:pPr>
        <w:spacing w:after="0" w:line="240" w:lineRule="auto"/>
        <w:rPr>
          <w:rFonts w:ascii="Arial" w:eastAsia="Arial" w:hAnsi="Arial" w:cs="Arial"/>
          <w:color w:val="000000" w:themeColor="text1"/>
          <w:sz w:val="24"/>
          <w:szCs w:val="24"/>
        </w:rPr>
      </w:pPr>
    </w:p>
    <w:p w14:paraId="50595D0F" w14:textId="032FE79B"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Landesamt für Finanzen Rheinland-Pfalz</w:t>
      </w:r>
    </w:p>
    <w:p w14:paraId="2593CC91" w14:textId="346C8A95"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Hoevelstr.10</w:t>
      </w:r>
    </w:p>
    <w:p w14:paraId="23BC783F" w14:textId="1026614F"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56073 Koblenz</w:t>
      </w:r>
    </w:p>
    <w:p w14:paraId="5F856295" w14:textId="3C6D0430" w:rsidR="001B7574" w:rsidRDefault="001B7574" w:rsidP="57C75DE8">
      <w:pPr>
        <w:spacing w:after="0" w:line="240" w:lineRule="auto"/>
        <w:rPr>
          <w:rFonts w:ascii="Arial" w:eastAsia="Arial" w:hAnsi="Arial" w:cs="Arial"/>
          <w:color w:val="000000" w:themeColor="text1"/>
          <w:sz w:val="24"/>
          <w:szCs w:val="24"/>
        </w:rPr>
      </w:pPr>
    </w:p>
    <w:p w14:paraId="76484486" w14:textId="0560E3CC" w:rsidR="001A5717" w:rsidRDefault="2DFC9A0B" w:rsidP="001A5717">
      <w:pPr>
        <w:pStyle w:val="paragraph"/>
        <w:spacing w:before="0" w:beforeAutospacing="0" w:after="0" w:afterAutospacing="0"/>
        <w:textAlignment w:val="baseline"/>
        <w:rPr>
          <w:rFonts w:ascii="Segoe UI" w:hAnsi="Segoe UI" w:cs="Segoe UI"/>
          <w:color w:val="EE0000"/>
          <w:sz w:val="18"/>
          <w:szCs w:val="18"/>
        </w:rPr>
      </w:pPr>
      <w:r w:rsidRPr="57C75DE8">
        <w:rPr>
          <w:rFonts w:ascii="Arial" w:eastAsia="Arial" w:hAnsi="Arial" w:cs="Arial"/>
          <w:b/>
          <w:bCs/>
          <w:i/>
          <w:iCs/>
          <w:color w:val="000000" w:themeColor="text1"/>
        </w:rPr>
        <w:t>Per Einschreiben</w:t>
      </w:r>
      <w:r w:rsidR="001A5717">
        <w:rPr>
          <w:rFonts w:ascii="Arial" w:eastAsia="Arial" w:hAnsi="Arial" w:cs="Arial"/>
          <w:b/>
          <w:bCs/>
          <w:i/>
          <w:iCs/>
          <w:color w:val="000000" w:themeColor="text1"/>
        </w:rPr>
        <w:t xml:space="preserve"> </w:t>
      </w:r>
      <w:r w:rsidR="001A5717">
        <w:rPr>
          <w:rStyle w:val="eop"/>
          <w:rFonts w:ascii="Arial" w:hAnsi="Arial" w:cs="Arial"/>
          <w:color w:val="EE0000"/>
        </w:rPr>
        <w:t xml:space="preserve">(keine </w:t>
      </w:r>
      <w:r w:rsidR="001A5717">
        <w:rPr>
          <w:rStyle w:val="eop"/>
          <w:rFonts w:ascii="Arial" w:hAnsi="Arial" w:cs="Arial"/>
          <w:color w:val="EE0000"/>
        </w:rPr>
        <w:t>E-Mail</w:t>
      </w:r>
      <w:r w:rsidR="001A5717">
        <w:rPr>
          <w:rStyle w:val="eop"/>
          <w:rFonts w:ascii="Arial" w:hAnsi="Arial" w:cs="Arial"/>
          <w:color w:val="EE0000"/>
        </w:rPr>
        <w:t>! Eingang beim LfF 31.12.2025, Postlaufzeiten beachten)</w:t>
      </w:r>
    </w:p>
    <w:p w14:paraId="60253798" w14:textId="4D79C728" w:rsidR="001B7574" w:rsidRDefault="001B7574" w:rsidP="57C75DE8">
      <w:pPr>
        <w:spacing w:after="0" w:line="240" w:lineRule="auto"/>
        <w:rPr>
          <w:rFonts w:ascii="Arial" w:eastAsia="Arial" w:hAnsi="Arial" w:cs="Arial"/>
          <w:color w:val="000000" w:themeColor="text1"/>
          <w:sz w:val="24"/>
          <w:szCs w:val="24"/>
        </w:rPr>
      </w:pPr>
    </w:p>
    <w:p w14:paraId="62FB6E93" w14:textId="240ED495" w:rsidR="001B7574" w:rsidRDefault="001B7574" w:rsidP="57C75DE8">
      <w:pPr>
        <w:spacing w:after="0" w:line="240" w:lineRule="auto"/>
        <w:rPr>
          <w:rFonts w:ascii="Arial" w:eastAsia="Arial" w:hAnsi="Arial" w:cs="Arial"/>
          <w:color w:val="000000" w:themeColor="text1"/>
          <w:sz w:val="24"/>
          <w:szCs w:val="24"/>
        </w:rPr>
      </w:pPr>
    </w:p>
    <w:p w14:paraId="06E3F979" w14:textId="3B6F539B" w:rsidR="001B7574" w:rsidRDefault="001B7574" w:rsidP="57C75DE8">
      <w:pPr>
        <w:spacing w:after="0" w:line="240" w:lineRule="auto"/>
        <w:rPr>
          <w:rFonts w:ascii="Arial" w:eastAsia="Arial" w:hAnsi="Arial" w:cs="Arial"/>
          <w:color w:val="000000" w:themeColor="text1"/>
          <w:sz w:val="24"/>
          <w:szCs w:val="24"/>
        </w:rPr>
      </w:pPr>
    </w:p>
    <w:p w14:paraId="28EA187A" w14:textId="3EEE5543" w:rsidR="001B7574" w:rsidRDefault="2DFC9A0B" w:rsidP="57C75DE8">
      <w:pPr>
        <w:spacing w:after="0" w:line="240" w:lineRule="auto"/>
        <w:jc w:val="center"/>
        <w:rPr>
          <w:rFonts w:ascii="Arial" w:eastAsia="Arial" w:hAnsi="Arial" w:cs="Arial"/>
          <w:color w:val="000000" w:themeColor="text1"/>
          <w:sz w:val="32"/>
          <w:szCs w:val="32"/>
        </w:rPr>
      </w:pPr>
      <w:r w:rsidRPr="57C75DE8">
        <w:rPr>
          <w:rFonts w:ascii="Arial" w:eastAsia="Arial" w:hAnsi="Arial" w:cs="Arial"/>
          <w:b/>
          <w:bCs/>
          <w:color w:val="000000" w:themeColor="text1"/>
          <w:sz w:val="32"/>
          <w:szCs w:val="32"/>
        </w:rPr>
        <w:t>Widerspruch</w:t>
      </w:r>
    </w:p>
    <w:p w14:paraId="3D52D88B" w14:textId="0198A609" w:rsidR="001B7574" w:rsidRDefault="001B7574" w:rsidP="57C75DE8">
      <w:pPr>
        <w:spacing w:after="0" w:line="240" w:lineRule="auto"/>
        <w:rPr>
          <w:rFonts w:ascii="Arial" w:eastAsia="Arial" w:hAnsi="Arial" w:cs="Arial"/>
          <w:color w:val="000000" w:themeColor="text1"/>
          <w:sz w:val="24"/>
          <w:szCs w:val="24"/>
        </w:rPr>
      </w:pPr>
    </w:p>
    <w:p w14:paraId="1F6D1EC2" w14:textId="56AEBBD4" w:rsidR="001B7574" w:rsidRDefault="2DFC9A0B" w:rsidP="005C151B">
      <w:pPr>
        <w:spacing w:after="0" w:line="240" w:lineRule="auto"/>
        <w:jc w:val="right"/>
        <w:rPr>
          <w:rFonts w:ascii="Arial" w:eastAsia="Arial" w:hAnsi="Arial" w:cs="Arial"/>
          <w:color w:val="000000" w:themeColor="text1"/>
          <w:sz w:val="24"/>
          <w:szCs w:val="24"/>
        </w:rPr>
      </w:pPr>
      <w:r w:rsidRPr="57C75DE8">
        <w:rPr>
          <w:rFonts w:ascii="Arial" w:eastAsia="Arial" w:hAnsi="Arial" w:cs="Arial"/>
          <w:i/>
          <w:iCs/>
          <w:color w:val="000000" w:themeColor="text1"/>
          <w:sz w:val="24"/>
          <w:szCs w:val="24"/>
        </w:rPr>
        <w:t>Datum</w:t>
      </w:r>
    </w:p>
    <w:p w14:paraId="1D0C4A99" w14:textId="786DE15E" w:rsidR="001B7574" w:rsidRDefault="001B7574" w:rsidP="57C75DE8">
      <w:pPr>
        <w:spacing w:after="0" w:line="240" w:lineRule="auto"/>
        <w:rPr>
          <w:rFonts w:ascii="Arial" w:eastAsia="Arial" w:hAnsi="Arial" w:cs="Arial"/>
          <w:color w:val="000000" w:themeColor="text1"/>
          <w:sz w:val="24"/>
          <w:szCs w:val="24"/>
        </w:rPr>
      </w:pPr>
    </w:p>
    <w:p w14:paraId="718F35E4" w14:textId="01212D60"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Personalnummer: …………………………………………………</w:t>
      </w:r>
    </w:p>
    <w:p w14:paraId="7F8AAF01" w14:textId="4402AB7B" w:rsidR="001B7574" w:rsidRDefault="001B7574" w:rsidP="57C75DE8">
      <w:pPr>
        <w:spacing w:after="0" w:line="240" w:lineRule="auto"/>
        <w:rPr>
          <w:rFonts w:ascii="Arial" w:eastAsia="Arial" w:hAnsi="Arial" w:cs="Arial"/>
          <w:color w:val="000000" w:themeColor="text1"/>
          <w:sz w:val="24"/>
          <w:szCs w:val="24"/>
        </w:rPr>
      </w:pPr>
    </w:p>
    <w:p w14:paraId="73845290" w14:textId="294E23D9"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color w:val="000000" w:themeColor="text1"/>
          <w:sz w:val="24"/>
          <w:szCs w:val="24"/>
        </w:rPr>
        <w:t>Letzte Besoldungsgruppe: …..............................................................</w:t>
      </w:r>
    </w:p>
    <w:p w14:paraId="35F88B14" w14:textId="4EC56547" w:rsidR="001B7574" w:rsidRDefault="001B7574" w:rsidP="57C75DE8">
      <w:pPr>
        <w:spacing w:after="0" w:line="240" w:lineRule="auto"/>
        <w:rPr>
          <w:rFonts w:ascii="Arial" w:eastAsia="Arial" w:hAnsi="Arial" w:cs="Arial"/>
          <w:color w:val="000000" w:themeColor="text1"/>
          <w:sz w:val="24"/>
          <w:szCs w:val="24"/>
        </w:rPr>
      </w:pPr>
    </w:p>
    <w:p w14:paraId="2E19ABA3" w14:textId="3577D7A6" w:rsidR="001B7574" w:rsidRDefault="2DFC9A0B" w:rsidP="57C75DE8">
      <w:pPr>
        <w:spacing w:after="0" w:line="240" w:lineRule="auto"/>
        <w:rPr>
          <w:rFonts w:ascii="Arial" w:eastAsia="Arial" w:hAnsi="Arial" w:cs="Arial"/>
          <w:color w:val="000000" w:themeColor="text1"/>
          <w:sz w:val="24"/>
          <w:szCs w:val="24"/>
        </w:rPr>
      </w:pPr>
      <w:r w:rsidRPr="57C75DE8">
        <w:rPr>
          <w:rFonts w:ascii="Arial" w:eastAsia="Arial" w:hAnsi="Arial" w:cs="Arial"/>
          <w:b/>
          <w:bCs/>
          <w:color w:val="000000" w:themeColor="text1"/>
          <w:sz w:val="24"/>
          <w:szCs w:val="24"/>
        </w:rPr>
        <w:t>Antrag auf Gewährung einer amtsangemessenen Alimentation</w:t>
      </w:r>
    </w:p>
    <w:p w14:paraId="08C66A49" w14:textId="1637A1DB" w:rsidR="001B7574" w:rsidRDefault="001B7574" w:rsidP="57C75DE8">
      <w:pPr>
        <w:spacing w:after="0" w:line="240" w:lineRule="auto"/>
        <w:rPr>
          <w:rFonts w:ascii="Arial" w:eastAsia="Arial" w:hAnsi="Arial" w:cs="Arial"/>
          <w:color w:val="000000" w:themeColor="text1"/>
          <w:sz w:val="24"/>
          <w:szCs w:val="24"/>
        </w:rPr>
      </w:pPr>
    </w:p>
    <w:p w14:paraId="5E114D66" w14:textId="3A158933" w:rsidR="001B7574" w:rsidRDefault="001B7574" w:rsidP="57C75DE8">
      <w:pPr>
        <w:spacing w:after="0" w:line="240" w:lineRule="auto"/>
        <w:rPr>
          <w:rFonts w:ascii="Arial" w:eastAsia="Arial" w:hAnsi="Arial" w:cs="Arial"/>
          <w:color w:val="000000" w:themeColor="text1"/>
          <w:sz w:val="24"/>
          <w:szCs w:val="24"/>
        </w:rPr>
      </w:pPr>
    </w:p>
    <w:p w14:paraId="32939096" w14:textId="0168725B" w:rsidR="001B7574" w:rsidRDefault="2DFC9A0B" w:rsidP="57C75DE8">
      <w:pPr>
        <w:spacing w:after="0" w:line="240" w:lineRule="auto"/>
        <w:jc w:val="both"/>
        <w:rPr>
          <w:rFonts w:ascii="Arial" w:eastAsia="Arial" w:hAnsi="Arial" w:cs="Arial"/>
          <w:color w:val="000000" w:themeColor="text1"/>
          <w:sz w:val="24"/>
          <w:szCs w:val="24"/>
        </w:rPr>
      </w:pPr>
      <w:r w:rsidRPr="57C75DE8">
        <w:rPr>
          <w:rFonts w:ascii="Arial" w:eastAsia="Arial" w:hAnsi="Arial" w:cs="Arial"/>
          <w:color w:val="000000" w:themeColor="text1"/>
          <w:sz w:val="24"/>
          <w:szCs w:val="24"/>
        </w:rPr>
        <w:t>Sehr geehrte Damen und Herren,</w:t>
      </w:r>
    </w:p>
    <w:p w14:paraId="3D1AB187" w14:textId="05FD3F7D" w:rsidR="001B7574" w:rsidRDefault="001B7574" w:rsidP="57C75DE8">
      <w:pPr>
        <w:spacing w:after="0" w:line="240" w:lineRule="auto"/>
        <w:jc w:val="both"/>
        <w:rPr>
          <w:rFonts w:ascii="Arial" w:eastAsia="Arial" w:hAnsi="Arial" w:cs="Arial"/>
          <w:color w:val="000000" w:themeColor="text1"/>
          <w:sz w:val="24"/>
          <w:szCs w:val="24"/>
        </w:rPr>
      </w:pPr>
    </w:p>
    <w:p w14:paraId="63FCAC41" w14:textId="4F458698" w:rsidR="001B7574" w:rsidRDefault="2DFC9A0B" w:rsidP="57C75DE8">
      <w:pPr>
        <w:spacing w:after="0" w:line="240" w:lineRule="auto"/>
        <w:jc w:val="both"/>
        <w:rPr>
          <w:rFonts w:ascii="Arial" w:eastAsia="Arial" w:hAnsi="Arial" w:cs="Arial"/>
          <w:color w:val="000000" w:themeColor="text1"/>
          <w:sz w:val="24"/>
          <w:szCs w:val="24"/>
        </w:rPr>
      </w:pPr>
      <w:r w:rsidRPr="57C75DE8">
        <w:rPr>
          <w:rFonts w:ascii="Arial" w:eastAsia="Arial" w:hAnsi="Arial" w:cs="Arial"/>
          <w:color w:val="000000" w:themeColor="text1"/>
          <w:sz w:val="24"/>
          <w:szCs w:val="24"/>
        </w:rPr>
        <w:t xml:space="preserve">Pensionärinnen und Pensionäre haben Anspruch auf Erhalt einer jeweils amtsangemessenen Versorgung nach Art. 33 Abs. 5 GG. </w:t>
      </w:r>
    </w:p>
    <w:p w14:paraId="5533DAC7" w14:textId="7E829568" w:rsidR="001B7574" w:rsidRDefault="001B7574" w:rsidP="57C75DE8">
      <w:pPr>
        <w:spacing w:after="0" w:line="240" w:lineRule="auto"/>
        <w:jc w:val="both"/>
        <w:rPr>
          <w:rFonts w:ascii="Arial" w:eastAsia="Arial" w:hAnsi="Arial" w:cs="Arial"/>
          <w:color w:val="000000" w:themeColor="text1"/>
          <w:sz w:val="24"/>
          <w:szCs w:val="24"/>
        </w:rPr>
      </w:pPr>
    </w:p>
    <w:p w14:paraId="425EBD28" w14:textId="03FF3965" w:rsidR="001B7574" w:rsidRDefault="2DFC9A0B" w:rsidP="57C75DE8">
      <w:pPr>
        <w:spacing w:after="0" w:line="240" w:lineRule="auto"/>
        <w:jc w:val="both"/>
        <w:rPr>
          <w:rFonts w:ascii="Arial" w:eastAsia="Arial" w:hAnsi="Arial" w:cs="Arial"/>
          <w:color w:val="000000" w:themeColor="text1"/>
          <w:sz w:val="24"/>
          <w:szCs w:val="24"/>
        </w:rPr>
      </w:pPr>
      <w:r w:rsidRPr="57C75DE8">
        <w:rPr>
          <w:rFonts w:ascii="Arial" w:eastAsia="Arial" w:hAnsi="Arial" w:cs="Arial"/>
          <w:color w:val="000000" w:themeColor="text1"/>
          <w:sz w:val="24"/>
          <w:szCs w:val="24"/>
        </w:rPr>
        <w:t>Dazu hat das Bundesverfassungsgericht in grundlegenden und umfassenden Entscheidungen (vgl. BVerfG 2 BvL 6/12) ausdrückliche und verbindliche Festlegungen getroffen. Diese Vorgaben hat es in seinen Entscheidungen vom 4. Mai 2020 (vgl. BVerfG 2 BvL 4/18; 2 BvL 6/17) konkretisiert und die Berechnungsparameter präzisiert. Dabei wurde insbesondere das Abstandsgebot zum allgemeinen Grundsicherungsniveau als ein eigenständiger hergebrachter Grundsatz des Berufsbeamtentums hervorgehoben.</w:t>
      </w:r>
    </w:p>
    <w:p w14:paraId="54C09FE2" w14:textId="211A02B9" w:rsidR="001B7574" w:rsidRDefault="001B7574" w:rsidP="57C75DE8">
      <w:pPr>
        <w:spacing w:after="0" w:line="240" w:lineRule="auto"/>
        <w:jc w:val="both"/>
        <w:rPr>
          <w:rFonts w:ascii="Arial" w:eastAsia="Arial" w:hAnsi="Arial" w:cs="Arial"/>
          <w:color w:val="000000" w:themeColor="text1"/>
          <w:sz w:val="24"/>
          <w:szCs w:val="24"/>
        </w:rPr>
      </w:pPr>
    </w:p>
    <w:p w14:paraId="49293C58" w14:textId="2173E107" w:rsidR="001B7574" w:rsidRDefault="2DFC9A0B" w:rsidP="57C75DE8">
      <w:pPr>
        <w:spacing w:after="0" w:line="240" w:lineRule="auto"/>
        <w:jc w:val="both"/>
        <w:rPr>
          <w:rFonts w:ascii="Arial" w:eastAsia="Arial" w:hAnsi="Arial" w:cs="Arial"/>
          <w:color w:val="000000" w:themeColor="text1"/>
          <w:sz w:val="24"/>
          <w:szCs w:val="24"/>
        </w:rPr>
      </w:pPr>
      <w:r w:rsidRPr="57C75DE8">
        <w:rPr>
          <w:rFonts w:ascii="Arial" w:eastAsia="Arial" w:hAnsi="Arial" w:cs="Arial"/>
          <w:color w:val="000000" w:themeColor="text1"/>
          <w:sz w:val="24"/>
          <w:szCs w:val="24"/>
        </w:rPr>
        <w:t>Den mit Art. 33 GG vorgegebenen und durch die Rechtsprechung ausgeschärften Vorgaben zur Mindestalimentation und Familienalimentation ist der Besoldungsgesetzgeber in Rheinland-Pfalz</w:t>
      </w:r>
      <w:r w:rsidRPr="57C75DE8">
        <w:rPr>
          <w:rFonts w:ascii="Arial" w:eastAsia="Arial" w:hAnsi="Arial" w:cs="Arial"/>
          <w:b/>
          <w:bCs/>
          <w:i/>
          <w:iCs/>
          <w:color w:val="000000" w:themeColor="text1"/>
          <w:sz w:val="24"/>
          <w:szCs w:val="24"/>
        </w:rPr>
        <w:t xml:space="preserve"> </w:t>
      </w:r>
      <w:r w:rsidRPr="57C75DE8">
        <w:rPr>
          <w:rFonts w:ascii="Arial" w:eastAsia="Arial" w:hAnsi="Arial" w:cs="Arial"/>
          <w:color w:val="000000" w:themeColor="text1"/>
          <w:sz w:val="24"/>
          <w:szCs w:val="24"/>
        </w:rPr>
        <w:t>nach wie vor nicht nachgekommen. Meine Versorgung ist auch weiterhin mit dem vom BVerfG getätigten Vorgaben nicht vereinbar, sodass ich gegen meine laufende und zukünftige Versorgung sowie der gewährten Zulagen und Sonderzulagen</w:t>
      </w:r>
    </w:p>
    <w:p w14:paraId="54A434D5" w14:textId="6D9344DC" w:rsidR="001B7574" w:rsidRDefault="001B7574" w:rsidP="57C75DE8">
      <w:pPr>
        <w:spacing w:after="0" w:line="240" w:lineRule="auto"/>
        <w:rPr>
          <w:rFonts w:ascii="Arial" w:eastAsia="Arial" w:hAnsi="Arial" w:cs="Arial"/>
          <w:color w:val="000000" w:themeColor="text1"/>
          <w:sz w:val="24"/>
          <w:szCs w:val="24"/>
        </w:rPr>
      </w:pPr>
    </w:p>
    <w:p w14:paraId="3A24E963" w14:textId="59E6AA2A" w:rsidR="001B7574" w:rsidRDefault="2DFC9A0B" w:rsidP="57C75DE8">
      <w:pPr>
        <w:spacing w:after="0" w:line="240" w:lineRule="auto"/>
        <w:ind w:left="708"/>
        <w:jc w:val="both"/>
        <w:rPr>
          <w:rFonts w:ascii="Arial" w:eastAsia="Arial" w:hAnsi="Arial" w:cs="Arial"/>
          <w:color w:val="000000" w:themeColor="text1"/>
          <w:sz w:val="24"/>
          <w:szCs w:val="24"/>
        </w:rPr>
      </w:pPr>
      <w:r w:rsidRPr="57C75DE8">
        <w:rPr>
          <w:rFonts w:ascii="Arial" w:eastAsia="Arial" w:hAnsi="Arial" w:cs="Arial"/>
          <w:b/>
          <w:bCs/>
          <w:color w:val="000000" w:themeColor="text1"/>
          <w:sz w:val="24"/>
          <w:szCs w:val="24"/>
        </w:rPr>
        <w:t>Widerspruch einlege und beantrage</w:t>
      </w:r>
      <w:r w:rsidRPr="57C75DE8">
        <w:rPr>
          <w:rFonts w:ascii="Arial" w:eastAsia="Arial" w:hAnsi="Arial" w:cs="Arial"/>
          <w:color w:val="000000" w:themeColor="text1"/>
          <w:sz w:val="24"/>
          <w:szCs w:val="24"/>
        </w:rPr>
        <w:t>,</w:t>
      </w:r>
    </w:p>
    <w:p w14:paraId="49044742" w14:textId="3596D804" w:rsidR="001B7574" w:rsidRDefault="001B7574" w:rsidP="57C75DE8">
      <w:pPr>
        <w:spacing w:after="0" w:line="240" w:lineRule="auto"/>
        <w:ind w:left="708"/>
        <w:jc w:val="both"/>
        <w:rPr>
          <w:rFonts w:ascii="Arial" w:eastAsia="Arial" w:hAnsi="Arial" w:cs="Arial"/>
          <w:color w:val="000000" w:themeColor="text1"/>
          <w:sz w:val="24"/>
          <w:szCs w:val="24"/>
        </w:rPr>
      </w:pPr>
    </w:p>
    <w:p w14:paraId="48EC529D" w14:textId="0B678794" w:rsidR="001B7574" w:rsidRDefault="2DFC9A0B" w:rsidP="57C75DE8">
      <w:pPr>
        <w:spacing w:after="0" w:line="240" w:lineRule="auto"/>
        <w:ind w:left="708"/>
        <w:jc w:val="both"/>
        <w:rPr>
          <w:rFonts w:ascii="Arial" w:eastAsia="Arial" w:hAnsi="Arial" w:cs="Arial"/>
          <w:color w:val="000000" w:themeColor="text1"/>
          <w:sz w:val="24"/>
          <w:szCs w:val="24"/>
        </w:rPr>
      </w:pPr>
      <w:r w:rsidRPr="3D9CB0D9">
        <w:rPr>
          <w:rFonts w:ascii="Arial" w:eastAsia="Arial" w:hAnsi="Arial" w:cs="Arial"/>
          <w:b/>
          <w:bCs/>
          <w:color w:val="000000" w:themeColor="text1"/>
          <w:sz w:val="24"/>
          <w:szCs w:val="24"/>
        </w:rPr>
        <w:t>mir für das Jahr 202</w:t>
      </w:r>
      <w:r w:rsidR="000A357C">
        <w:rPr>
          <w:rFonts w:ascii="Arial" w:eastAsia="Arial" w:hAnsi="Arial" w:cs="Arial"/>
          <w:b/>
          <w:bCs/>
          <w:color w:val="000000" w:themeColor="text1"/>
          <w:sz w:val="24"/>
          <w:szCs w:val="24"/>
        </w:rPr>
        <w:t>5</w:t>
      </w:r>
      <w:r w:rsidRPr="3D9CB0D9">
        <w:rPr>
          <w:rFonts w:ascii="Arial" w:eastAsia="Arial" w:hAnsi="Arial" w:cs="Arial"/>
          <w:b/>
          <w:bCs/>
          <w:color w:val="000000" w:themeColor="text1"/>
          <w:sz w:val="24"/>
          <w:szCs w:val="24"/>
        </w:rPr>
        <w:t xml:space="preserve"> und alle folgenden Jahre eine amtsangemessene Versorgung zu gewähren, die den in den Entscheidungen des Bundesverfassungsgerichts aufgestellten Parametern und damit dem Grundsatz der amtsangemessenen Alimentation entspricht.</w:t>
      </w:r>
    </w:p>
    <w:p w14:paraId="5BC6AD82" w14:textId="06228FC4" w:rsidR="001B7574" w:rsidRDefault="001B7574" w:rsidP="57C75DE8">
      <w:pPr>
        <w:spacing w:after="0" w:line="240" w:lineRule="auto"/>
        <w:jc w:val="both"/>
        <w:rPr>
          <w:rFonts w:ascii="Arial" w:eastAsia="Arial" w:hAnsi="Arial" w:cs="Arial"/>
          <w:color w:val="000000" w:themeColor="text1"/>
          <w:sz w:val="24"/>
          <w:szCs w:val="24"/>
        </w:rPr>
      </w:pPr>
    </w:p>
    <w:p w14:paraId="4C81487B" w14:textId="37C001C8" w:rsidR="001B7574" w:rsidRDefault="2DFC9A0B" w:rsidP="57C75DE8">
      <w:pPr>
        <w:spacing w:after="0" w:line="240" w:lineRule="auto"/>
        <w:jc w:val="both"/>
        <w:rPr>
          <w:rFonts w:ascii="Arial" w:eastAsia="Arial" w:hAnsi="Arial" w:cs="Arial"/>
          <w:color w:val="000000" w:themeColor="text1"/>
          <w:sz w:val="24"/>
          <w:szCs w:val="24"/>
        </w:rPr>
      </w:pPr>
      <w:r w:rsidRPr="57C75DE8">
        <w:rPr>
          <w:rFonts w:ascii="Arial" w:eastAsia="Arial" w:hAnsi="Arial" w:cs="Arial"/>
          <w:color w:val="000000" w:themeColor="text1"/>
          <w:sz w:val="24"/>
          <w:szCs w:val="24"/>
        </w:rPr>
        <w:t xml:space="preserve">Gleichzeitig bitte ich bis zur verfassungsgemäßen Umsetzung der Entscheidung durch den für meine Versorgung zuständigen Gesetzgeber meinen Antrag ruhen zu lassen, auf die Einrede der Verjährung zu verzichten und mir dies und den Eingang meines Widerspruchs entsprechend schriftlich zu bestätigen. </w:t>
      </w:r>
    </w:p>
    <w:p w14:paraId="61603C62" w14:textId="56C648CE" w:rsidR="001B7574" w:rsidRDefault="001B7574" w:rsidP="57C75DE8">
      <w:pPr>
        <w:spacing w:after="0" w:line="240" w:lineRule="auto"/>
        <w:jc w:val="both"/>
        <w:rPr>
          <w:rFonts w:ascii="Arial" w:eastAsia="Arial" w:hAnsi="Arial" w:cs="Arial"/>
          <w:color w:val="000000" w:themeColor="text1"/>
          <w:sz w:val="24"/>
          <w:szCs w:val="24"/>
        </w:rPr>
      </w:pPr>
    </w:p>
    <w:p w14:paraId="63E0B095" w14:textId="6D331018" w:rsidR="001B7574" w:rsidRDefault="2DFC9A0B" w:rsidP="57C75DE8">
      <w:pPr>
        <w:spacing w:after="0" w:line="240" w:lineRule="auto"/>
        <w:jc w:val="both"/>
        <w:rPr>
          <w:rFonts w:ascii="Arial" w:eastAsia="Arial" w:hAnsi="Arial" w:cs="Arial"/>
          <w:color w:val="000000" w:themeColor="text1"/>
          <w:sz w:val="24"/>
          <w:szCs w:val="24"/>
        </w:rPr>
      </w:pPr>
      <w:r w:rsidRPr="57C75DE8">
        <w:rPr>
          <w:rFonts w:ascii="Arial" w:eastAsia="Arial" w:hAnsi="Arial" w:cs="Arial"/>
          <w:color w:val="000000" w:themeColor="text1"/>
          <w:sz w:val="24"/>
          <w:szCs w:val="24"/>
        </w:rPr>
        <w:t>Mit freundlichen Grüßen</w:t>
      </w:r>
    </w:p>
    <w:p w14:paraId="4A2F4D4E" w14:textId="5BC88508" w:rsidR="001B7574" w:rsidRDefault="001B7574" w:rsidP="57C75DE8">
      <w:pPr>
        <w:spacing w:after="0" w:line="240" w:lineRule="auto"/>
        <w:rPr>
          <w:rFonts w:ascii="Segoe UI" w:eastAsia="Segoe UI" w:hAnsi="Segoe UI" w:cs="Segoe UI"/>
          <w:color w:val="000000" w:themeColor="text1"/>
          <w:sz w:val="24"/>
          <w:szCs w:val="24"/>
        </w:rPr>
      </w:pPr>
    </w:p>
    <w:p w14:paraId="0ED0133F" w14:textId="5DD581C4" w:rsidR="001B7574" w:rsidRDefault="001B7574" w:rsidP="57C75DE8">
      <w:pPr>
        <w:rPr>
          <w:rFonts w:ascii="Calibri" w:eastAsia="Calibri" w:hAnsi="Calibri" w:cs="Calibri"/>
          <w:color w:val="000000" w:themeColor="text1"/>
        </w:rPr>
      </w:pPr>
    </w:p>
    <w:p w14:paraId="6E61F692" w14:textId="77777777" w:rsidR="001A5717" w:rsidRDefault="001A5717" w:rsidP="001A5717">
      <w:pPr>
        <w:rPr>
          <w:color w:val="EE0000"/>
        </w:rPr>
      </w:pPr>
      <w:r>
        <w:rPr>
          <w:color w:val="EE0000"/>
        </w:rPr>
        <w:t>Eigenhändige Unterschrift +</w:t>
      </w:r>
    </w:p>
    <w:p w14:paraId="3F3D3474" w14:textId="77777777" w:rsidR="001A5717" w:rsidRDefault="001A5717" w:rsidP="001A5717">
      <w:pPr>
        <w:rPr>
          <w:color w:val="EE0000"/>
        </w:rPr>
      </w:pPr>
      <w:r>
        <w:rPr>
          <w:color w:val="EE0000"/>
        </w:rPr>
        <w:t>Maschinenlesbare Unterschrift</w:t>
      </w:r>
    </w:p>
    <w:p w14:paraId="4E47C1E7" w14:textId="035F580B" w:rsidR="001B7574" w:rsidRDefault="001B7574" w:rsidP="57C75DE8"/>
    <w:sectPr w:rsidR="001B75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2A2A33"/>
    <w:rsid w:val="000A357C"/>
    <w:rsid w:val="001A5717"/>
    <w:rsid w:val="001B7574"/>
    <w:rsid w:val="005C151B"/>
    <w:rsid w:val="00757903"/>
    <w:rsid w:val="00926BAA"/>
    <w:rsid w:val="00EA11D7"/>
    <w:rsid w:val="00FE1A96"/>
    <w:rsid w:val="00FE4379"/>
    <w:rsid w:val="2DFC9A0B"/>
    <w:rsid w:val="342A2A33"/>
    <w:rsid w:val="3D9CB0D9"/>
    <w:rsid w:val="57C75DE8"/>
    <w:rsid w:val="65B5A8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2A33"/>
  <w15:chartTrackingRefBased/>
  <w15:docId w15:val="{5A7C9A35-3B6A-46CE-9261-4DB004EE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1A57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op">
    <w:name w:val="eop"/>
    <w:basedOn w:val="Absatz-Standardschriftart"/>
    <w:rsid w:val="001A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913377-7984-44d3-b21f-aef215031896" xsi:nil="true"/>
    <lcf76f155ced4ddcb4097134ff3c332f xmlns="c206c89e-54d2-4176-ac5e-a3dca4dc3b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173CC7C7289FD4EBD8B25BF4B1FA589" ma:contentTypeVersion="18" ma:contentTypeDescription="Ein neues Dokument erstellen." ma:contentTypeScope="" ma:versionID="5bcf6d7092bf4d52e54473576cbb4a75">
  <xsd:schema xmlns:xsd="http://www.w3.org/2001/XMLSchema" xmlns:xs="http://www.w3.org/2001/XMLSchema" xmlns:p="http://schemas.microsoft.com/office/2006/metadata/properties" xmlns:ns2="c206c89e-54d2-4176-ac5e-a3dca4dc3b88" xmlns:ns3="e1913377-7984-44d3-b21f-aef215031896" targetNamespace="http://schemas.microsoft.com/office/2006/metadata/properties" ma:root="true" ma:fieldsID="ad7fd851183e0943dc2f74b8f8fce51b" ns2:_="" ns3:_="">
    <xsd:import namespace="c206c89e-54d2-4176-ac5e-a3dca4dc3b88"/>
    <xsd:import namespace="e1913377-7984-44d3-b21f-aef215031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6c89e-54d2-4176-ac5e-a3dca4dc3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69e92fc-4d78-487a-ab62-553e591d9c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13377-7984-44d3-b21f-aef21503189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7e2330f8-eeb3-46e5-b7cf-c12be9456c8d}" ma:internalName="TaxCatchAll" ma:showField="CatchAllData" ma:web="e1913377-7984-44d3-b21f-aef215031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933CE-85B3-4F6A-B474-969B9FA72D10}">
  <ds:schemaRefs>
    <ds:schemaRef ds:uri="http://schemas.microsoft.com/office/2006/metadata/properties"/>
    <ds:schemaRef ds:uri="http://schemas.microsoft.com/office/infopath/2007/PartnerControls"/>
    <ds:schemaRef ds:uri="e1913377-7984-44d3-b21f-aef215031896"/>
    <ds:schemaRef ds:uri="c206c89e-54d2-4176-ac5e-a3dca4dc3b88"/>
  </ds:schemaRefs>
</ds:datastoreItem>
</file>

<file path=customXml/itemProps2.xml><?xml version="1.0" encoding="utf-8"?>
<ds:datastoreItem xmlns:ds="http://schemas.openxmlformats.org/officeDocument/2006/customXml" ds:itemID="{7D492FDA-2709-4A61-BABB-A8622BA94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6c89e-54d2-4176-ac5e-a3dca4dc3b88"/>
    <ds:schemaRef ds:uri="e1913377-7984-44d3-b21f-aef21503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760DE-191B-4DA1-9EB6-43662459F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1859</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Holzenthal</dc:creator>
  <cp:keywords/>
  <dc:description/>
  <cp:lastModifiedBy>Anne Wiench</cp:lastModifiedBy>
  <cp:revision>3</cp:revision>
  <dcterms:created xsi:type="dcterms:W3CDTF">2025-11-18T11:22:00Z</dcterms:created>
  <dcterms:modified xsi:type="dcterms:W3CDTF">2025-11-25T11:24:00Z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0x010100A173CC7C7289FD4EBD8B25BF4B1FA589</vt:lpwstr>
  </property>
  <property fmtid="{D5CDD505-2E9C-101B-9397-08002B2CF9AE}" pid="3" name="MediaServiceImageTags">
    <vt:lpwstr/>
  </property>
</Properties>
</file>