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C00F0A">
            <w:pPr>
              <w:rPr>
                <w:rFonts w:ascii="Arial" w:hAnsi="Arial" w:cs="Arial"/>
                <w:b/>
                <w:bCs/>
                <w:sz w:val="32"/>
                <w:szCs w:val="32"/>
              </w:rPr>
            </w:pPr>
            <w:r>
              <w:rPr>
                <w:rFonts w:ascii="Arial" w:hAnsi="Arial" w:cs="Arial"/>
                <w:b/>
                <w:bCs/>
                <w:sz w:val="32"/>
                <w:szCs w:val="32"/>
              </w:rPr>
              <w:t>B 02</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9722E9">
            <w:pPr>
              <w:pStyle w:val="Kopfzeile"/>
              <w:tabs>
                <w:tab w:val="clear" w:pos="4536"/>
                <w:tab w:val="clear" w:pos="9072"/>
              </w:tabs>
              <w:rPr>
                <w:rFonts w:ascii="Arial" w:hAnsi="Arial" w:cs="Arial"/>
                <w:b/>
                <w:bCs/>
              </w:rPr>
            </w:pPr>
            <w:r>
              <w:rPr>
                <w:rFonts w:ascii="Arial" w:hAnsi="Arial" w:cs="Arial"/>
                <w:b/>
                <w:bCs/>
              </w:rPr>
              <w:t xml:space="preserve">KG </w:t>
            </w:r>
            <w:r w:rsidR="00B7502C">
              <w:rPr>
                <w:rFonts w:ascii="Arial" w:hAnsi="Arial" w:cs="Arial"/>
                <w:b/>
                <w:bCs/>
              </w:rPr>
              <w:t xml:space="preserve">BKA </w:t>
            </w:r>
            <w:bookmarkStart w:id="0" w:name="_GoBack"/>
            <w:bookmarkEnd w:id="0"/>
            <w:r>
              <w:rPr>
                <w:rFonts w:ascii="Arial" w:hAnsi="Arial" w:cs="Arial"/>
                <w:b/>
                <w:bCs/>
              </w:rPr>
              <w:t>Wiesbaden</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6448CC" w:rsidRDefault="009722E9" w:rsidP="00500229">
            <w:pPr>
              <w:rPr>
                <w:rFonts w:ascii="Arial" w:hAnsi="Arial" w:cs="Arial"/>
                <w:b/>
                <w:bCs/>
              </w:rPr>
            </w:pPr>
            <w:r w:rsidRPr="009722E9">
              <w:rPr>
                <w:rFonts w:ascii="Arial" w:hAnsi="Arial" w:cs="Arial"/>
                <w:b/>
                <w:bCs/>
              </w:rPr>
              <w:t>Anrechnung von Arbeits-/Entwicklungszeiten durch höherwertige Tätigkeiten bei einer anschließenden Höhergruppierung</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B161C8" w:rsidP="00B223C7">
            <w:pPr>
              <w:rPr>
                <w:rFonts w:ascii="Arial" w:hAnsi="Arial" w:cs="Arial"/>
              </w:rPr>
            </w:pPr>
            <w:r>
              <w:rPr>
                <w:rFonts w:ascii="Arial" w:hAnsi="Arial" w:cs="Arial"/>
                <w:i/>
                <w:iCs/>
              </w:rPr>
              <w:t xml:space="preserve">Der 17. Ordentliche Delegiertentag der </w:t>
            </w:r>
            <w:r w:rsidRPr="00686F32">
              <w:rPr>
                <w:rFonts w:ascii="Arial" w:hAnsi="Arial" w:cs="Arial"/>
                <w:i/>
                <w:iCs/>
              </w:rPr>
              <w:t>G</w:t>
            </w:r>
            <w:r w:rsidR="00C00F0A">
              <w:rPr>
                <w:rFonts w:ascii="Arial" w:hAnsi="Arial" w:cs="Arial"/>
                <w:i/>
                <w:iCs/>
              </w:rPr>
              <w:t>dP</w:t>
            </w:r>
            <w:r>
              <w:rPr>
                <w:rFonts w:ascii="Arial" w:hAnsi="Arial" w:cs="Arial"/>
                <w:i/>
                <w:iCs/>
              </w:rPr>
              <w:t xml:space="preserve"> Bezirk </w:t>
            </w:r>
            <w:r w:rsidR="00C00F0A">
              <w:rPr>
                <w:rFonts w:ascii="Arial" w:hAnsi="Arial" w:cs="Arial"/>
                <w:i/>
                <w:iCs/>
              </w:rPr>
              <w:t>BKA möge beschließen</w:t>
            </w:r>
            <w:r w:rsidR="00B223C7">
              <w:rPr>
                <w:rFonts w:ascii="Arial" w:hAnsi="Arial" w:cs="Arial"/>
                <w:i/>
                <w:iCs/>
              </w:rPr>
              <w:t>,</w:t>
            </w:r>
          </w:p>
        </w:tc>
      </w:tr>
      <w:tr w:rsidR="006448CC">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9722E9" w:rsidRPr="007D48D4" w:rsidRDefault="00B223C7" w:rsidP="00F26BC7">
            <w:pPr>
              <w:jc w:val="both"/>
              <w:rPr>
                <w:rFonts w:ascii="Arial" w:hAnsi="Arial" w:cs="Arial"/>
              </w:rPr>
            </w:pPr>
            <w:r>
              <w:rPr>
                <w:rFonts w:ascii="Arial" w:hAnsi="Arial" w:cs="Arial"/>
              </w:rPr>
              <w:t>d</w:t>
            </w:r>
            <w:r w:rsidR="00C00F0A">
              <w:rPr>
                <w:rFonts w:ascii="Arial" w:hAnsi="Arial" w:cs="Arial"/>
              </w:rPr>
              <w:t xml:space="preserve">ass </w:t>
            </w:r>
            <w:r w:rsidR="00B161C8">
              <w:rPr>
                <w:rFonts w:ascii="Arial" w:hAnsi="Arial" w:cs="Arial"/>
              </w:rPr>
              <w:t>d</w:t>
            </w:r>
            <w:r w:rsidR="009722E9" w:rsidRPr="009722E9">
              <w:rPr>
                <w:rFonts w:ascii="Arial" w:hAnsi="Arial" w:cs="Arial"/>
              </w:rPr>
              <w:t>er Bezirksvorstand sich dafür ein</w:t>
            </w:r>
            <w:r w:rsidR="00F26BC7">
              <w:rPr>
                <w:rFonts w:ascii="Arial" w:hAnsi="Arial" w:cs="Arial"/>
              </w:rPr>
              <w:t xml:space="preserve">setzt, </w:t>
            </w:r>
            <w:r w:rsidR="009722E9" w:rsidRPr="009722E9">
              <w:rPr>
                <w:rFonts w:ascii="Arial" w:hAnsi="Arial" w:cs="Arial"/>
              </w:rPr>
              <w:t>dass bereits geleistete Arbeits-/Entwicklungszeiten während einer Übertragung von höherwertigen Tätigkeiten in einer späteren Höhergruppierung Berücksichtigung finde</w:t>
            </w:r>
            <w:r w:rsidR="00B161C8">
              <w:rPr>
                <w:rFonts w:ascii="Arial" w:hAnsi="Arial" w:cs="Arial"/>
              </w:rPr>
              <w:t>n</w:t>
            </w:r>
            <w:r w:rsidR="009722E9" w:rsidRPr="009722E9">
              <w:rPr>
                <w:rFonts w:ascii="Arial" w:hAnsi="Arial" w:cs="Arial"/>
              </w:rPr>
              <w:t>.</w:t>
            </w:r>
          </w:p>
        </w:tc>
      </w:tr>
      <w:tr w:rsidR="006448CC">
        <w:trPr>
          <w:trHeight w:val="1557"/>
        </w:trPr>
        <w:tc>
          <w:tcPr>
            <w:tcW w:w="9426" w:type="dxa"/>
            <w:gridSpan w:val="3"/>
          </w:tcPr>
          <w:p w:rsidR="006448CC"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pPr>
              <w:rPr>
                <w:rFonts w:ascii="Arial" w:hAnsi="Arial" w:cs="Arial"/>
                <w:b/>
                <w:bCs/>
                <w:sz w:val="20"/>
                <w:szCs w:val="20"/>
                <w:u w:val="single"/>
              </w:rPr>
            </w:pPr>
          </w:p>
          <w:p w:rsidR="009722E9" w:rsidRPr="00B7502C" w:rsidRDefault="009722E9" w:rsidP="00B7502C">
            <w:pPr>
              <w:jc w:val="both"/>
              <w:rPr>
                <w:rFonts w:ascii="Arial" w:hAnsi="Arial" w:cs="Arial"/>
                <w:sz w:val="20"/>
                <w:szCs w:val="20"/>
              </w:rPr>
            </w:pPr>
            <w:r w:rsidRPr="00B7502C">
              <w:rPr>
                <w:rFonts w:ascii="Arial" w:hAnsi="Arial" w:cs="Arial"/>
                <w:sz w:val="20"/>
                <w:szCs w:val="20"/>
              </w:rPr>
              <w:t xml:space="preserve">Durch Übertragung von höherwertigen Tätigkeiten wird seitens des Tarifbeschäftigten über einen gewissen Zeitraum bereits Erfahrung zu den Arbeitsweisen und Leistungen in einer entsprechend höheren Eingruppierung gesammelt. Eine Anrechnung dieser Entwicklungszeiten auf die Entwicklungsstufen bei einer späteren Höhergruppierung erfolgt jedoch nicht. Somit fällt jeder Tarifbeschäftigte bei einer Höhergruppierung in seiner aktuellen Entwicklungsstufe auf </w:t>
            </w:r>
            <w:r w:rsidR="00B161C8" w:rsidRPr="00B7502C">
              <w:rPr>
                <w:rFonts w:ascii="Arial" w:hAnsi="Arial" w:cs="Arial"/>
                <w:sz w:val="20"/>
                <w:szCs w:val="20"/>
              </w:rPr>
              <w:t>„</w:t>
            </w:r>
            <w:r w:rsidRPr="00B7502C">
              <w:rPr>
                <w:rFonts w:ascii="Arial" w:hAnsi="Arial" w:cs="Arial"/>
                <w:sz w:val="20"/>
                <w:szCs w:val="20"/>
              </w:rPr>
              <w:t>0</w:t>
            </w:r>
            <w:r w:rsidR="00B161C8" w:rsidRPr="00B7502C">
              <w:rPr>
                <w:rFonts w:ascii="Arial" w:hAnsi="Arial" w:cs="Arial"/>
                <w:sz w:val="20"/>
                <w:szCs w:val="20"/>
              </w:rPr>
              <w:t>“</w:t>
            </w:r>
            <w:r w:rsidRPr="00B7502C">
              <w:rPr>
                <w:rFonts w:ascii="Arial" w:hAnsi="Arial" w:cs="Arial"/>
                <w:sz w:val="20"/>
                <w:szCs w:val="20"/>
              </w:rPr>
              <w:t xml:space="preserve"> zurück und muss diese erneut ableisten. </w:t>
            </w:r>
          </w:p>
          <w:p w:rsidR="006448CC" w:rsidRPr="007D48D4" w:rsidRDefault="009722E9" w:rsidP="00B7502C">
            <w:pPr>
              <w:jc w:val="both"/>
              <w:rPr>
                <w:rFonts w:ascii="Arial" w:hAnsi="Arial" w:cs="Arial"/>
                <w:sz w:val="18"/>
                <w:szCs w:val="18"/>
              </w:rPr>
            </w:pPr>
            <w:r w:rsidRPr="00B7502C">
              <w:rPr>
                <w:rFonts w:ascii="Arial" w:hAnsi="Arial" w:cs="Arial"/>
                <w:sz w:val="20"/>
                <w:szCs w:val="20"/>
              </w:rPr>
              <w:t>Dieser Umstand führt nicht nur zu einer Demotivation, sondern hat auch Renten- und Pflegeversicherungsnachteile, da eine entsprechend höhere Lohnzahlung trotz bereits erfolgter Entwicklung nicht erfolgt (Zurückstufung).</w:t>
            </w:r>
          </w:p>
        </w:tc>
      </w:tr>
      <w:tr w:rsidR="006448CC">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6"/>
          <w:type w:val="continuous"/>
          <w:pgSz w:w="11906" w:h="16838" w:code="9"/>
          <w:pgMar w:top="782" w:right="851" w:bottom="1134" w:left="1985" w:header="720" w:footer="720" w:gutter="0"/>
          <w:cols w:space="720"/>
          <w:titlePg/>
        </w:sectPr>
      </w:pPr>
    </w:p>
    <w:p w:rsidR="006448CC" w:rsidRDefault="006448CC" w:rsidP="009722E9">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B7502C" w:rsidRDefault="00B7502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B7502C" w:rsidRDefault="00B7502C">
      <w:pPr>
        <w:rPr>
          <w:rFonts w:ascii="Arial" w:hAnsi="Arial" w:cs="Arial"/>
          <w:b/>
          <w:bCs/>
          <w:sz w:val="22"/>
          <w:szCs w:val="22"/>
        </w:rPr>
      </w:pPr>
    </w:p>
    <w:p w:rsidR="00B7502C" w:rsidRDefault="00B7502C">
      <w:pPr>
        <w:rPr>
          <w:rFonts w:ascii="Arial" w:hAnsi="Arial" w:cs="Arial"/>
          <w:b/>
          <w:bCs/>
          <w:sz w:val="22"/>
          <w:szCs w:val="22"/>
        </w:rPr>
      </w:pPr>
    </w:p>
    <w:p w:rsidR="00B7502C" w:rsidRDefault="00B7502C">
      <w:pPr>
        <w:rPr>
          <w:rFonts w:ascii="Arial" w:hAnsi="Arial" w:cs="Arial"/>
          <w:b/>
          <w:bCs/>
          <w:sz w:val="22"/>
          <w:szCs w:val="22"/>
        </w:rPr>
      </w:pPr>
    </w:p>
    <w:p w:rsidR="00B7502C" w:rsidRDefault="00B7502C">
      <w:pPr>
        <w:rPr>
          <w:rFonts w:ascii="Arial" w:hAnsi="Arial" w:cs="Arial"/>
          <w:b/>
          <w:bCs/>
          <w:sz w:val="22"/>
          <w:szCs w:val="22"/>
        </w:rPr>
      </w:pPr>
    </w:p>
    <w:p w:rsidR="00B7502C" w:rsidRDefault="00B7502C">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A4922">
              <w:rPr>
                <w:rFonts w:ascii="Arial" w:hAnsi="Arial" w:cs="Arial"/>
                <w:sz w:val="20"/>
                <w:szCs w:val="20"/>
              </w:rPr>
            </w:r>
            <w:r w:rsidR="00DA4922">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A4922">
              <w:rPr>
                <w:rFonts w:ascii="Arial" w:hAnsi="Arial" w:cs="Arial"/>
                <w:sz w:val="20"/>
                <w:szCs w:val="20"/>
              </w:rPr>
            </w:r>
            <w:r w:rsidR="00DA492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A4922">
              <w:rPr>
                <w:rFonts w:ascii="Arial" w:hAnsi="Arial" w:cs="Arial"/>
                <w:sz w:val="20"/>
                <w:szCs w:val="20"/>
              </w:rPr>
            </w:r>
            <w:r w:rsidR="00DA492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A4922">
              <w:rPr>
                <w:rFonts w:ascii="Arial" w:hAnsi="Arial" w:cs="Arial"/>
                <w:sz w:val="20"/>
                <w:szCs w:val="20"/>
              </w:rPr>
            </w:r>
            <w:r w:rsidR="00DA492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A4922">
              <w:rPr>
                <w:rFonts w:ascii="Arial" w:hAnsi="Arial" w:cs="Arial"/>
                <w:sz w:val="20"/>
                <w:szCs w:val="20"/>
              </w:rPr>
            </w:r>
            <w:r w:rsidR="00DA492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A4922">
              <w:rPr>
                <w:rFonts w:ascii="Arial" w:hAnsi="Arial" w:cs="Arial"/>
                <w:sz w:val="20"/>
                <w:szCs w:val="20"/>
              </w:rPr>
            </w:r>
            <w:r w:rsidR="00DA492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A4922">
              <w:rPr>
                <w:rFonts w:ascii="Arial" w:hAnsi="Arial" w:cs="Arial"/>
                <w:sz w:val="20"/>
                <w:szCs w:val="20"/>
              </w:rPr>
            </w:r>
            <w:r w:rsidR="00DA492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A4922">
              <w:rPr>
                <w:rFonts w:ascii="Arial" w:hAnsi="Arial" w:cs="Arial"/>
                <w:sz w:val="20"/>
                <w:szCs w:val="20"/>
              </w:rPr>
            </w:r>
            <w:r w:rsidR="00DA492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22" w:rsidRDefault="00DA4922">
      <w:r>
        <w:separator/>
      </w:r>
    </w:p>
  </w:endnote>
  <w:endnote w:type="continuationSeparator" w:id="0">
    <w:p w:rsidR="00DA4922" w:rsidRDefault="00DA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22" w:rsidRDefault="00DA4922">
      <w:r>
        <w:separator/>
      </w:r>
    </w:p>
  </w:footnote>
  <w:footnote w:type="continuationSeparator" w:id="0">
    <w:p w:rsidR="00DA4922" w:rsidRDefault="00DA4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B7502C">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33D97"/>
    <w:rsid w:val="00044F9C"/>
    <w:rsid w:val="00084ED8"/>
    <w:rsid w:val="00124049"/>
    <w:rsid w:val="00150511"/>
    <w:rsid w:val="00153E3E"/>
    <w:rsid w:val="00191C9A"/>
    <w:rsid w:val="001927A1"/>
    <w:rsid w:val="001B17BB"/>
    <w:rsid w:val="001C035F"/>
    <w:rsid w:val="001C341C"/>
    <w:rsid w:val="002119C3"/>
    <w:rsid w:val="0021652F"/>
    <w:rsid w:val="00253460"/>
    <w:rsid w:val="00260C52"/>
    <w:rsid w:val="0026732C"/>
    <w:rsid w:val="002A07AA"/>
    <w:rsid w:val="002B2525"/>
    <w:rsid w:val="002B4F6D"/>
    <w:rsid w:val="002D4E3E"/>
    <w:rsid w:val="002D67E1"/>
    <w:rsid w:val="002E1183"/>
    <w:rsid w:val="0031650D"/>
    <w:rsid w:val="003279FF"/>
    <w:rsid w:val="003749DD"/>
    <w:rsid w:val="003859BE"/>
    <w:rsid w:val="003A094E"/>
    <w:rsid w:val="003B5617"/>
    <w:rsid w:val="0043241B"/>
    <w:rsid w:val="0043350F"/>
    <w:rsid w:val="00464F58"/>
    <w:rsid w:val="00500229"/>
    <w:rsid w:val="005127E5"/>
    <w:rsid w:val="00523D10"/>
    <w:rsid w:val="0053044B"/>
    <w:rsid w:val="0054650E"/>
    <w:rsid w:val="00573483"/>
    <w:rsid w:val="00574B16"/>
    <w:rsid w:val="005F0CE6"/>
    <w:rsid w:val="00606147"/>
    <w:rsid w:val="006235EC"/>
    <w:rsid w:val="006448CC"/>
    <w:rsid w:val="00686F32"/>
    <w:rsid w:val="006963A6"/>
    <w:rsid w:val="006C7BAF"/>
    <w:rsid w:val="00701FEE"/>
    <w:rsid w:val="007341CE"/>
    <w:rsid w:val="0076321E"/>
    <w:rsid w:val="00763536"/>
    <w:rsid w:val="00782588"/>
    <w:rsid w:val="00783DC8"/>
    <w:rsid w:val="007A6BCE"/>
    <w:rsid w:val="007D48D4"/>
    <w:rsid w:val="007D60E3"/>
    <w:rsid w:val="007D617D"/>
    <w:rsid w:val="007F1D77"/>
    <w:rsid w:val="007F55C3"/>
    <w:rsid w:val="00813DA4"/>
    <w:rsid w:val="0082001B"/>
    <w:rsid w:val="00827AAE"/>
    <w:rsid w:val="008956DA"/>
    <w:rsid w:val="008A4996"/>
    <w:rsid w:val="008D3099"/>
    <w:rsid w:val="008D72A5"/>
    <w:rsid w:val="008E3847"/>
    <w:rsid w:val="0093051B"/>
    <w:rsid w:val="00956E31"/>
    <w:rsid w:val="009722E9"/>
    <w:rsid w:val="009B4D81"/>
    <w:rsid w:val="00A22BCA"/>
    <w:rsid w:val="00A357DF"/>
    <w:rsid w:val="00A54C5B"/>
    <w:rsid w:val="00A71566"/>
    <w:rsid w:val="00A84FE8"/>
    <w:rsid w:val="00AD6CF4"/>
    <w:rsid w:val="00AE167C"/>
    <w:rsid w:val="00B161C8"/>
    <w:rsid w:val="00B223C7"/>
    <w:rsid w:val="00B256EB"/>
    <w:rsid w:val="00B468D7"/>
    <w:rsid w:val="00B53F2F"/>
    <w:rsid w:val="00B67A4A"/>
    <w:rsid w:val="00B74D29"/>
    <w:rsid w:val="00B7502C"/>
    <w:rsid w:val="00B763FA"/>
    <w:rsid w:val="00B76CF0"/>
    <w:rsid w:val="00BC294E"/>
    <w:rsid w:val="00BC3AB2"/>
    <w:rsid w:val="00BD2808"/>
    <w:rsid w:val="00BE6692"/>
    <w:rsid w:val="00C00F0A"/>
    <w:rsid w:val="00C162F1"/>
    <w:rsid w:val="00C3198A"/>
    <w:rsid w:val="00C57897"/>
    <w:rsid w:val="00CB6A63"/>
    <w:rsid w:val="00CF3E13"/>
    <w:rsid w:val="00D5639A"/>
    <w:rsid w:val="00D66357"/>
    <w:rsid w:val="00DA4881"/>
    <w:rsid w:val="00DA4922"/>
    <w:rsid w:val="00DB5229"/>
    <w:rsid w:val="00DC4262"/>
    <w:rsid w:val="00DE069D"/>
    <w:rsid w:val="00DE537A"/>
    <w:rsid w:val="00EC6479"/>
    <w:rsid w:val="00ED0462"/>
    <w:rsid w:val="00EF0E72"/>
    <w:rsid w:val="00F17409"/>
    <w:rsid w:val="00F22F92"/>
    <w:rsid w:val="00F26BC7"/>
    <w:rsid w:val="00F31792"/>
    <w:rsid w:val="00F34B3A"/>
    <w:rsid w:val="00FC0C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CFD4F8-219C-4F53-8A20-7EE00E81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1503">
      <w:bodyDiv w:val="1"/>
      <w:marLeft w:val="0"/>
      <w:marRight w:val="0"/>
      <w:marTop w:val="0"/>
      <w:marBottom w:val="0"/>
      <w:divBdr>
        <w:top w:val="none" w:sz="0" w:space="0" w:color="auto"/>
        <w:left w:val="none" w:sz="0" w:space="0" w:color="auto"/>
        <w:bottom w:val="none" w:sz="0" w:space="0" w:color="auto"/>
        <w:right w:val="none" w:sz="0" w:space="0" w:color="auto"/>
      </w:divBdr>
    </w:div>
    <w:div w:id="16945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creator>Ruth Brunner</dc:creator>
  <cp:lastModifiedBy>admin</cp:lastModifiedBy>
  <cp:revision>5</cp:revision>
  <cp:lastPrinted>2018-02-16T09:11:00Z</cp:lastPrinted>
  <dcterms:created xsi:type="dcterms:W3CDTF">2018-02-16T09:12:00Z</dcterms:created>
  <dcterms:modified xsi:type="dcterms:W3CDTF">2018-03-09T12:37:00Z</dcterms:modified>
</cp:coreProperties>
</file>