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68" w:type="dxa"/>
        <w:tblLayout w:type="fixed"/>
        <w:tblCellMar>
          <w:left w:w="70" w:type="dxa"/>
          <w:right w:w="70" w:type="dxa"/>
        </w:tblCellMar>
        <w:tblLook w:val="0000" w:firstRow="0" w:lastRow="0" w:firstColumn="0" w:lastColumn="0" w:noHBand="0" w:noVBand="0"/>
      </w:tblPr>
      <w:tblGrid>
        <w:gridCol w:w="2338"/>
        <w:gridCol w:w="3802"/>
        <w:gridCol w:w="3286"/>
      </w:tblGrid>
      <w:tr w:rsidR="006448CC">
        <w:trPr>
          <w:cantSplit/>
          <w:trHeight w:val="826"/>
        </w:trPr>
        <w:tc>
          <w:tcPr>
            <w:tcW w:w="2338" w:type="dxa"/>
          </w:tcPr>
          <w:p w:rsidR="006448CC" w:rsidRDefault="006448CC">
            <w:pPr>
              <w:pStyle w:val="berschrift1"/>
              <w:rPr>
                <w:sz w:val="32"/>
                <w:szCs w:val="32"/>
              </w:rPr>
            </w:pPr>
            <w:r>
              <w:rPr>
                <w:sz w:val="32"/>
                <w:szCs w:val="32"/>
              </w:rPr>
              <w:t>Antrag</w:t>
            </w:r>
          </w:p>
        </w:tc>
        <w:tc>
          <w:tcPr>
            <w:tcW w:w="3802" w:type="dxa"/>
          </w:tcPr>
          <w:p w:rsidR="006448CC" w:rsidRDefault="00414552">
            <w:pPr>
              <w:rPr>
                <w:rFonts w:ascii="Arial" w:hAnsi="Arial" w:cs="Arial"/>
                <w:b/>
                <w:bCs/>
                <w:sz w:val="32"/>
                <w:szCs w:val="32"/>
              </w:rPr>
            </w:pPr>
            <w:r>
              <w:rPr>
                <w:rFonts w:ascii="Arial" w:hAnsi="Arial" w:cs="Arial"/>
                <w:b/>
                <w:bCs/>
                <w:sz w:val="32"/>
                <w:szCs w:val="32"/>
              </w:rPr>
              <w:t>C 02</w:t>
            </w:r>
          </w:p>
        </w:tc>
        <w:tc>
          <w:tcPr>
            <w:tcW w:w="3286" w:type="dxa"/>
            <w:vMerge w:val="restart"/>
          </w:tcPr>
          <w:p w:rsidR="006448CC" w:rsidRDefault="006448CC" w:rsidP="00A84FE8">
            <w:pPr>
              <w:pStyle w:val="Kopfzeile"/>
              <w:tabs>
                <w:tab w:val="clear" w:pos="4536"/>
                <w:tab w:val="clear" w:pos="9072"/>
              </w:tabs>
              <w:jc w:val="center"/>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Antragsteller:</w:t>
            </w:r>
          </w:p>
        </w:tc>
        <w:tc>
          <w:tcPr>
            <w:tcW w:w="3802" w:type="dxa"/>
          </w:tcPr>
          <w:p w:rsidR="006448CC" w:rsidRDefault="00414552">
            <w:pPr>
              <w:pStyle w:val="Kopfzeile"/>
              <w:tabs>
                <w:tab w:val="clear" w:pos="4536"/>
                <w:tab w:val="clear" w:pos="9072"/>
              </w:tabs>
              <w:rPr>
                <w:rFonts w:ascii="Arial" w:hAnsi="Arial" w:cs="Arial"/>
                <w:b/>
                <w:bCs/>
              </w:rPr>
            </w:pPr>
            <w:r>
              <w:rPr>
                <w:rFonts w:ascii="Arial" w:hAnsi="Arial" w:cs="Arial"/>
                <w:b/>
                <w:bCs/>
              </w:rPr>
              <w:t>Geschäftsführender Bezirksvorstand</w:t>
            </w:r>
          </w:p>
        </w:tc>
        <w:tc>
          <w:tcPr>
            <w:tcW w:w="3286" w:type="dxa"/>
            <w:vMerge/>
          </w:tcPr>
          <w:p w:rsidR="006448CC" w:rsidRDefault="006448CC">
            <w:pPr>
              <w:pStyle w:val="Kopfzeile"/>
              <w:tabs>
                <w:tab w:val="clear" w:pos="4536"/>
                <w:tab w:val="clear" w:pos="9072"/>
              </w:tabs>
              <w:rPr>
                <w:rFonts w:ascii="Arial" w:hAnsi="Arial" w:cs="Arial"/>
              </w:rPr>
            </w:pPr>
          </w:p>
        </w:tc>
      </w:tr>
      <w:tr w:rsidR="006448CC">
        <w:trPr>
          <w:cantSplit/>
          <w:trHeight w:val="827"/>
        </w:trPr>
        <w:tc>
          <w:tcPr>
            <w:tcW w:w="2338" w:type="dxa"/>
          </w:tcPr>
          <w:p w:rsidR="006448CC" w:rsidRDefault="006448CC">
            <w:pPr>
              <w:rPr>
                <w:rFonts w:ascii="Arial" w:hAnsi="Arial" w:cs="Arial"/>
                <w:b/>
                <w:bCs/>
                <w:sz w:val="26"/>
                <w:szCs w:val="26"/>
              </w:rPr>
            </w:pPr>
            <w:r>
              <w:rPr>
                <w:rFonts w:ascii="Arial" w:hAnsi="Arial" w:cs="Arial"/>
                <w:b/>
                <w:bCs/>
                <w:sz w:val="26"/>
                <w:szCs w:val="26"/>
              </w:rPr>
              <w:t>Betrifft:</w:t>
            </w:r>
          </w:p>
        </w:tc>
        <w:tc>
          <w:tcPr>
            <w:tcW w:w="3802" w:type="dxa"/>
          </w:tcPr>
          <w:p w:rsidR="00414552" w:rsidRPr="00414552" w:rsidRDefault="00414552" w:rsidP="00414552">
            <w:pPr>
              <w:rPr>
                <w:rFonts w:ascii="Arial" w:hAnsi="Arial" w:cs="Arial"/>
                <w:b/>
              </w:rPr>
            </w:pPr>
            <w:r w:rsidRPr="00414552">
              <w:rPr>
                <w:rFonts w:ascii="Arial" w:hAnsi="Arial" w:cs="Arial"/>
                <w:b/>
              </w:rPr>
              <w:t>Anpassung der wöchentlichen Arbeitszeit der Beamtinnen und Beamten auf den Umfang der Arbeitszeiten der Tarifbeschäftigten</w:t>
            </w:r>
          </w:p>
          <w:p w:rsidR="006448CC" w:rsidRDefault="006448CC" w:rsidP="00500229">
            <w:pPr>
              <w:rPr>
                <w:rFonts w:ascii="Arial" w:hAnsi="Arial" w:cs="Arial"/>
                <w:b/>
                <w:bCs/>
              </w:rPr>
            </w:pPr>
          </w:p>
        </w:tc>
        <w:tc>
          <w:tcPr>
            <w:tcW w:w="3286" w:type="dxa"/>
            <w:vMerge/>
          </w:tcPr>
          <w:p w:rsidR="006448CC" w:rsidRDefault="006448CC">
            <w:pPr>
              <w:pStyle w:val="Kopfzeile"/>
              <w:tabs>
                <w:tab w:val="clear" w:pos="4536"/>
                <w:tab w:val="clear" w:pos="9072"/>
              </w:tabs>
              <w:rPr>
                <w:rFonts w:ascii="Arial" w:hAnsi="Arial" w:cs="Arial"/>
                <w:b/>
                <w:bCs/>
              </w:rPr>
            </w:pPr>
          </w:p>
        </w:tc>
      </w:tr>
    </w:tbl>
    <w:p w:rsidR="006448CC" w:rsidRDefault="006448CC">
      <w:pPr>
        <w:rPr>
          <w:rFonts w:ascii="Arial" w:hAnsi="Arial" w:cs="Arial"/>
        </w:rPr>
      </w:pPr>
    </w:p>
    <w:tbl>
      <w:tblPr>
        <w:tblW w:w="9426" w:type="dxa"/>
        <w:tblInd w:w="-68" w:type="dxa"/>
        <w:tblLayout w:type="fixed"/>
        <w:tblCellMar>
          <w:left w:w="70" w:type="dxa"/>
          <w:right w:w="70" w:type="dxa"/>
        </w:tblCellMar>
        <w:tblLook w:val="0000" w:firstRow="0" w:lastRow="0" w:firstColumn="0" w:lastColumn="0" w:noHBand="0" w:noVBand="0"/>
      </w:tblPr>
      <w:tblGrid>
        <w:gridCol w:w="4196"/>
        <w:gridCol w:w="542"/>
        <w:gridCol w:w="4688"/>
      </w:tblGrid>
      <w:tr w:rsidR="006448CC">
        <w:trPr>
          <w:cantSplit/>
          <w:trHeight w:val="508"/>
        </w:trPr>
        <w:tc>
          <w:tcPr>
            <w:tcW w:w="9426" w:type="dxa"/>
            <w:gridSpan w:val="3"/>
            <w:shd w:val="clear" w:color="auto" w:fill="E6E6E6"/>
          </w:tcPr>
          <w:p w:rsidR="006448CC" w:rsidRDefault="006448CC" w:rsidP="006963A6">
            <w:pPr>
              <w:rPr>
                <w:rFonts w:ascii="Arial" w:hAnsi="Arial" w:cs="Arial"/>
              </w:rPr>
            </w:pPr>
            <w:r>
              <w:rPr>
                <w:rFonts w:ascii="Arial" w:hAnsi="Arial" w:cs="Arial"/>
                <w:i/>
                <w:iCs/>
              </w:rPr>
              <w:t>Der 1</w:t>
            </w:r>
            <w:r w:rsidR="006963A6">
              <w:rPr>
                <w:rFonts w:ascii="Arial" w:hAnsi="Arial" w:cs="Arial"/>
                <w:i/>
                <w:iCs/>
              </w:rPr>
              <w:t>7</w:t>
            </w:r>
            <w:r>
              <w:rPr>
                <w:rFonts w:ascii="Arial" w:hAnsi="Arial" w:cs="Arial"/>
                <w:i/>
                <w:iCs/>
              </w:rPr>
              <w:t xml:space="preserve">. Ordentliche Delegiertentag der </w:t>
            </w:r>
            <w:r w:rsidRPr="00686F32">
              <w:rPr>
                <w:rFonts w:ascii="Arial" w:hAnsi="Arial" w:cs="Arial"/>
                <w:i/>
                <w:iCs/>
              </w:rPr>
              <w:t>G</w:t>
            </w:r>
            <w:r>
              <w:rPr>
                <w:rFonts w:ascii="Arial" w:hAnsi="Arial" w:cs="Arial"/>
                <w:i/>
                <w:iCs/>
              </w:rPr>
              <w:t xml:space="preserve">dP Bezirk BKA </w:t>
            </w:r>
            <w:r w:rsidRPr="00686F32">
              <w:rPr>
                <w:rFonts w:ascii="Arial" w:hAnsi="Arial" w:cs="Arial"/>
                <w:i/>
                <w:iCs/>
              </w:rPr>
              <w:t xml:space="preserve"> möge beschließen</w:t>
            </w:r>
            <w:r>
              <w:rPr>
                <w:rFonts w:ascii="Arial" w:hAnsi="Arial" w:cs="Arial"/>
                <w:i/>
                <w:iCs/>
              </w:rPr>
              <w:t>:</w:t>
            </w:r>
          </w:p>
        </w:tc>
      </w:tr>
      <w:tr w:rsidR="006448CC">
        <w:trPr>
          <w:trHeight w:val="455"/>
        </w:trPr>
        <w:tc>
          <w:tcPr>
            <w:tcW w:w="4196" w:type="dxa"/>
          </w:tcPr>
          <w:p w:rsidR="006448CC" w:rsidRPr="00686F32" w:rsidRDefault="006448CC">
            <w:pPr>
              <w:rPr>
                <w:rFonts w:ascii="Arial" w:hAnsi="Arial" w:cs="Arial"/>
                <w:i/>
                <w:iCs/>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r w:rsidR="006448CC" w:rsidRPr="007D48D4">
        <w:trPr>
          <w:cantSplit/>
          <w:trHeight w:hRule="exact" w:val="1837"/>
        </w:trPr>
        <w:tc>
          <w:tcPr>
            <w:tcW w:w="9426" w:type="dxa"/>
            <w:gridSpan w:val="3"/>
            <w:vAlign w:val="center"/>
          </w:tcPr>
          <w:p w:rsidR="006448CC" w:rsidRPr="007D48D4" w:rsidRDefault="001013C6" w:rsidP="00414552">
            <w:pPr>
              <w:jc w:val="both"/>
              <w:rPr>
                <w:rFonts w:ascii="Arial" w:hAnsi="Arial" w:cs="Arial"/>
              </w:rPr>
            </w:pPr>
            <w:r>
              <w:rPr>
                <w:rFonts w:ascii="Arial" w:hAnsi="Arial" w:cs="Arial"/>
              </w:rPr>
              <w:t>Der Bundes</w:t>
            </w:r>
            <w:r w:rsidR="00986A3A">
              <w:rPr>
                <w:rFonts w:ascii="Arial" w:hAnsi="Arial" w:cs="Arial"/>
              </w:rPr>
              <w:t>vorstand</w:t>
            </w:r>
            <w:r>
              <w:rPr>
                <w:rFonts w:ascii="Arial" w:hAnsi="Arial" w:cs="Arial"/>
              </w:rPr>
              <w:t xml:space="preserve"> möge darauf</w:t>
            </w:r>
            <w:r w:rsidR="00414552">
              <w:rPr>
                <w:rFonts w:ascii="Arial" w:hAnsi="Arial" w:cs="Arial"/>
              </w:rPr>
              <w:t xml:space="preserve"> </w:t>
            </w:r>
            <w:r>
              <w:rPr>
                <w:rFonts w:ascii="Arial" w:hAnsi="Arial" w:cs="Arial"/>
              </w:rPr>
              <w:t>hinwirken, die</w:t>
            </w:r>
            <w:r w:rsidR="00E60145">
              <w:rPr>
                <w:rFonts w:ascii="Arial" w:hAnsi="Arial" w:cs="Arial"/>
              </w:rPr>
              <w:t xml:space="preserve"> Arbeitszeit der Beamtinnen und Beamten auf den Umfang der Arbeitszeit </w:t>
            </w:r>
            <w:r>
              <w:rPr>
                <w:rFonts w:ascii="Arial" w:hAnsi="Arial" w:cs="Arial"/>
              </w:rPr>
              <w:t>der Tarifbeschäftigten anzupassen.</w:t>
            </w:r>
          </w:p>
        </w:tc>
      </w:tr>
      <w:tr w:rsidR="006448CC">
        <w:trPr>
          <w:trHeight w:val="1557"/>
        </w:trPr>
        <w:tc>
          <w:tcPr>
            <w:tcW w:w="9426" w:type="dxa"/>
            <w:gridSpan w:val="3"/>
          </w:tcPr>
          <w:p w:rsidR="006448CC" w:rsidRDefault="006448CC">
            <w:pPr>
              <w:rPr>
                <w:rFonts w:ascii="Arial" w:hAnsi="Arial" w:cs="Arial"/>
                <w:b/>
                <w:bCs/>
                <w:sz w:val="20"/>
                <w:szCs w:val="20"/>
                <w:u w:val="single"/>
              </w:rPr>
            </w:pPr>
            <w:r w:rsidRPr="003B5617">
              <w:rPr>
                <w:rFonts w:ascii="Arial" w:hAnsi="Arial" w:cs="Arial"/>
                <w:b/>
                <w:bCs/>
                <w:sz w:val="20"/>
                <w:szCs w:val="20"/>
                <w:u w:val="single"/>
              </w:rPr>
              <w:t>Begründung:</w:t>
            </w:r>
          </w:p>
          <w:p w:rsidR="006448CC" w:rsidRPr="003B5617" w:rsidRDefault="006448CC">
            <w:pPr>
              <w:rPr>
                <w:rFonts w:ascii="Arial" w:hAnsi="Arial" w:cs="Arial"/>
                <w:b/>
                <w:bCs/>
                <w:sz w:val="20"/>
                <w:szCs w:val="20"/>
                <w:u w:val="single"/>
              </w:rPr>
            </w:pPr>
          </w:p>
          <w:p w:rsidR="006448CC" w:rsidRPr="00414552" w:rsidRDefault="001013C6" w:rsidP="009B4D81">
            <w:pPr>
              <w:jc w:val="both"/>
              <w:rPr>
                <w:rFonts w:ascii="Arial" w:hAnsi="Arial" w:cs="Arial"/>
                <w:sz w:val="20"/>
                <w:szCs w:val="20"/>
              </w:rPr>
            </w:pPr>
            <w:r w:rsidRPr="00414552">
              <w:rPr>
                <w:rFonts w:ascii="Arial" w:hAnsi="Arial" w:cs="Arial"/>
                <w:sz w:val="20"/>
                <w:szCs w:val="20"/>
              </w:rPr>
              <w:t>Die Erhöhung der Arbeitszeit für Bundesbeam</w:t>
            </w:r>
            <w:r w:rsidR="00E60145" w:rsidRPr="00414552">
              <w:rPr>
                <w:rFonts w:ascii="Arial" w:hAnsi="Arial" w:cs="Arial"/>
                <w:sz w:val="20"/>
                <w:szCs w:val="20"/>
              </w:rPr>
              <w:t>tinnen und -Beamte auf 41,0</w:t>
            </w:r>
            <w:r w:rsidRPr="00414552">
              <w:rPr>
                <w:rFonts w:ascii="Arial" w:hAnsi="Arial" w:cs="Arial"/>
                <w:sz w:val="20"/>
                <w:szCs w:val="20"/>
              </w:rPr>
              <w:t xml:space="preserve"> S</w:t>
            </w:r>
            <w:r w:rsidR="00E60145" w:rsidRPr="00414552">
              <w:rPr>
                <w:rFonts w:ascii="Arial" w:hAnsi="Arial" w:cs="Arial"/>
                <w:sz w:val="20"/>
                <w:szCs w:val="20"/>
              </w:rPr>
              <w:t xml:space="preserve">tunden/Woche wurde im Zuge der </w:t>
            </w:r>
            <w:r w:rsidRPr="00414552">
              <w:rPr>
                <w:rFonts w:ascii="Arial" w:hAnsi="Arial" w:cs="Arial"/>
                <w:sz w:val="20"/>
                <w:szCs w:val="20"/>
              </w:rPr>
              <w:t>durch die Politik forcierte Stelleneinsparung im öffentlichen Dienst aufgrund der seinerzeit vorhandenen Haushaltsengpässe durchgesetzt. Durch die Anhebung der Arbeitszeit sollte ein Teil der weggefallenen Stellen kompensiert werden. Die Haushaltslage hat sich mittlerweile eklatant verbessert. Die Stelleneinsparquoten wurden aufgehoben. Zumindest für den Bundesbereich ist von erheblichen Stellenzuwächsen auszugehen. In diesem Sinne ist die Argumentation, die zur Erhöhung der Wochenarbeitszeit geführt hat, nicht mehr haltbar. Daher soll die wöchentliche Arbeitszeit der Be</w:t>
            </w:r>
            <w:r w:rsidR="00E60145" w:rsidRPr="00414552">
              <w:rPr>
                <w:rFonts w:ascii="Arial" w:hAnsi="Arial" w:cs="Arial"/>
                <w:sz w:val="20"/>
                <w:szCs w:val="20"/>
              </w:rPr>
              <w:t>amtinnen und Beamten</w:t>
            </w:r>
            <w:r w:rsidRPr="00414552">
              <w:rPr>
                <w:rFonts w:ascii="Arial" w:hAnsi="Arial" w:cs="Arial"/>
                <w:sz w:val="20"/>
                <w:szCs w:val="20"/>
              </w:rPr>
              <w:t xml:space="preserve"> </w:t>
            </w:r>
            <w:r w:rsidR="00E60145" w:rsidRPr="00414552">
              <w:rPr>
                <w:rFonts w:ascii="Arial" w:hAnsi="Arial" w:cs="Arial"/>
                <w:sz w:val="20"/>
                <w:szCs w:val="20"/>
              </w:rPr>
              <w:t>einkommensneutral auf den Umfang der Arbeitszeiten</w:t>
            </w:r>
            <w:r w:rsidRPr="00414552">
              <w:rPr>
                <w:rFonts w:ascii="Arial" w:hAnsi="Arial" w:cs="Arial"/>
                <w:sz w:val="20"/>
                <w:szCs w:val="20"/>
              </w:rPr>
              <w:t xml:space="preserve"> der Tarifbeschäftigten angepasst werden.</w:t>
            </w:r>
          </w:p>
        </w:tc>
      </w:tr>
      <w:tr w:rsidR="006448CC">
        <w:tc>
          <w:tcPr>
            <w:tcW w:w="4196" w:type="dxa"/>
          </w:tcPr>
          <w:p w:rsidR="006448CC" w:rsidRDefault="006448CC">
            <w:pPr>
              <w:pStyle w:val="Kopfzeile"/>
              <w:tabs>
                <w:tab w:val="clear" w:pos="4536"/>
                <w:tab w:val="clear" w:pos="9072"/>
              </w:tabs>
              <w:jc w:val="both"/>
              <w:rPr>
                <w:rFonts w:ascii="Arial" w:hAnsi="Arial" w:cs="Arial"/>
              </w:rPr>
            </w:pPr>
          </w:p>
        </w:tc>
        <w:tc>
          <w:tcPr>
            <w:tcW w:w="542" w:type="dxa"/>
          </w:tcPr>
          <w:p w:rsidR="006448CC" w:rsidRDefault="006448CC">
            <w:pPr>
              <w:rPr>
                <w:rFonts w:ascii="Arial" w:hAnsi="Arial" w:cs="Arial"/>
              </w:rPr>
            </w:pPr>
          </w:p>
        </w:tc>
        <w:tc>
          <w:tcPr>
            <w:tcW w:w="4688" w:type="dxa"/>
          </w:tcPr>
          <w:p w:rsidR="006448CC" w:rsidRDefault="006448CC">
            <w:pPr>
              <w:rPr>
                <w:rFonts w:ascii="Arial" w:hAnsi="Arial" w:cs="Arial"/>
              </w:rPr>
            </w:pPr>
          </w:p>
        </w:tc>
      </w:tr>
    </w:tbl>
    <w:p w:rsidR="006448CC" w:rsidRDefault="006448CC">
      <w:pPr>
        <w:rPr>
          <w:rFonts w:ascii="Arial" w:hAnsi="Arial" w:cs="Arial"/>
        </w:rPr>
        <w:sectPr w:rsidR="006448CC" w:rsidSect="006C7BAF">
          <w:headerReference w:type="default" r:id="rId6"/>
          <w:type w:val="continuous"/>
          <w:pgSz w:w="11906" w:h="16838" w:code="9"/>
          <w:pgMar w:top="782" w:right="851" w:bottom="1134" w:left="1985" w:header="720" w:footer="720" w:gutter="0"/>
          <w:cols w:space="720"/>
          <w:titlePg/>
        </w:sect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p>
    <w:p w:rsidR="006448CC" w:rsidRDefault="006448CC">
      <w:pPr>
        <w:rPr>
          <w:rFonts w:ascii="Arial" w:hAnsi="Arial" w:cs="Arial"/>
          <w:b/>
          <w:bCs/>
          <w:sz w:val="22"/>
          <w:szCs w:val="22"/>
        </w:rPr>
      </w:pPr>
      <w:bookmarkStart w:id="0" w:name="_GoBack"/>
      <w:bookmarkEnd w:id="0"/>
    </w:p>
    <w:p w:rsidR="006448CC" w:rsidRDefault="006448CC">
      <w:pPr>
        <w:rPr>
          <w:rFonts w:ascii="Arial" w:hAnsi="Arial" w:cs="Arial"/>
          <w:b/>
          <w:bCs/>
          <w:sz w:val="22"/>
          <w:szCs w:val="22"/>
        </w:rPr>
      </w:pPr>
      <w:r>
        <w:rPr>
          <w:rFonts w:ascii="Arial" w:hAnsi="Arial" w:cs="Arial"/>
          <w:b/>
          <w:bCs/>
          <w:sz w:val="22"/>
          <w:szCs w:val="22"/>
        </w:rPr>
        <w:t>Empfehlung der</w:t>
      </w:r>
    </w:p>
    <w:p w:rsidR="006448CC" w:rsidRDefault="006448CC">
      <w:pPr>
        <w:rPr>
          <w:rFonts w:ascii="Arial" w:hAnsi="Arial" w:cs="Arial"/>
          <w:b/>
          <w:bCs/>
          <w:sz w:val="22"/>
          <w:szCs w:val="22"/>
        </w:rPr>
      </w:pPr>
      <w:r w:rsidRPr="00C57897">
        <w:rPr>
          <w:rFonts w:ascii="Arial" w:hAnsi="Arial" w:cs="Arial"/>
          <w:b/>
          <w:bCs/>
          <w:sz w:val="22"/>
          <w:szCs w:val="22"/>
        </w:rPr>
        <w:t>Antragsberatungskommission:</w:t>
      </w:r>
      <w:r>
        <w:rPr>
          <w:rFonts w:ascii="Arial" w:hAnsi="Arial" w:cs="Arial"/>
          <w:b/>
          <w:bCs/>
          <w:sz w:val="22"/>
          <w:szCs w:val="22"/>
        </w:rPr>
        <w:t xml:space="preserve"> </w:t>
      </w:r>
    </w:p>
    <w:p w:rsidR="00414552" w:rsidRDefault="00414552">
      <w:pPr>
        <w:rPr>
          <w:rFonts w:ascii="Arial" w:hAnsi="Arial" w:cs="Arial"/>
          <w:b/>
          <w:bCs/>
          <w:sz w:val="22"/>
          <w:szCs w:val="22"/>
        </w:rPr>
      </w:pPr>
    </w:p>
    <w:p w:rsidR="00414552" w:rsidRDefault="00414552">
      <w:pPr>
        <w:rPr>
          <w:rFonts w:ascii="Arial" w:hAnsi="Arial" w:cs="Arial"/>
          <w:b/>
          <w:bCs/>
          <w:sz w:val="22"/>
          <w:szCs w:val="22"/>
        </w:rPr>
      </w:pPr>
    </w:p>
    <w:p w:rsidR="00414552" w:rsidRDefault="00414552">
      <w:pPr>
        <w:rPr>
          <w:rFonts w:ascii="Arial" w:hAnsi="Arial" w:cs="Arial"/>
          <w:b/>
          <w:bCs/>
          <w:sz w:val="22"/>
          <w:szCs w:val="22"/>
        </w:rPr>
      </w:pPr>
    </w:p>
    <w:p w:rsidR="00414552" w:rsidRDefault="00414552">
      <w:pPr>
        <w:rPr>
          <w:rFonts w:ascii="Arial" w:hAnsi="Arial" w:cs="Arial"/>
          <w:b/>
          <w:bCs/>
          <w:sz w:val="22"/>
          <w:szCs w:val="22"/>
        </w:rPr>
      </w:pPr>
    </w:p>
    <w:p w:rsidR="00414552" w:rsidRDefault="00414552">
      <w:pPr>
        <w:rPr>
          <w:rFonts w:ascii="Arial" w:hAnsi="Arial" w:cs="Arial"/>
          <w:b/>
          <w:bCs/>
          <w:sz w:val="22"/>
          <w:szCs w:val="22"/>
        </w:rPr>
      </w:pPr>
    </w:p>
    <w:p w:rsidR="006448CC" w:rsidRDefault="006448CC"/>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46"/>
        <w:gridCol w:w="1836"/>
        <w:gridCol w:w="446"/>
        <w:gridCol w:w="2459"/>
        <w:gridCol w:w="446"/>
        <w:gridCol w:w="1718"/>
        <w:gridCol w:w="446"/>
        <w:gridCol w:w="1595"/>
      </w:tblGrid>
      <w:tr w:rsidR="006448CC" w:rsidRPr="008E3847">
        <w:tc>
          <w:tcPr>
            <w:tcW w:w="0" w:type="auto"/>
            <w:vAlign w:val="center"/>
          </w:tcPr>
          <w:bookmarkStart w:id="1" w:name="Kontrollkästchen1"/>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bookmarkEnd w:id="1"/>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 zu</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Erledigt durch</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Nichtbefassung</w:t>
            </w:r>
          </w:p>
        </w:tc>
      </w:tr>
      <w:tr w:rsidR="006448CC" w:rsidRPr="008E3847">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mit Änderung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Annahme als Arbeitsmaterial</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Nichtbehandlung</w:t>
            </w:r>
          </w:p>
        </w:tc>
        <w:tc>
          <w:tcPr>
            <w:tcW w:w="0" w:type="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fldChar w:fldCharType="begin">
                <w:ffData>
                  <w:name w:val="Kontrollkästchen1"/>
                  <w:enabled/>
                  <w:calcOnExit w:val="0"/>
                  <w:checkBox>
                    <w:sizeAuto/>
                    <w:default w:val="0"/>
                  </w:checkBox>
                </w:ffData>
              </w:fldChar>
            </w:r>
            <w:r w:rsidRPr="007F55C3">
              <w:rPr>
                <w:rFonts w:ascii="Arial" w:hAnsi="Arial" w:cs="Arial"/>
                <w:sz w:val="20"/>
                <w:szCs w:val="20"/>
              </w:rPr>
              <w:instrText xml:space="preserve"> FORMCHECKBOX </w:instrText>
            </w:r>
            <w:r w:rsidR="00956842">
              <w:rPr>
                <w:rFonts w:ascii="Arial" w:hAnsi="Arial" w:cs="Arial"/>
                <w:sz w:val="20"/>
                <w:szCs w:val="20"/>
              </w:rPr>
            </w:r>
            <w:r w:rsidR="00956842">
              <w:rPr>
                <w:rFonts w:ascii="Arial" w:hAnsi="Arial" w:cs="Arial"/>
                <w:sz w:val="20"/>
                <w:szCs w:val="20"/>
              </w:rPr>
              <w:fldChar w:fldCharType="separate"/>
            </w:r>
            <w:r w:rsidRPr="007F55C3">
              <w:rPr>
                <w:rFonts w:ascii="Arial" w:hAnsi="Arial" w:cs="Arial"/>
                <w:sz w:val="20"/>
                <w:szCs w:val="20"/>
              </w:rPr>
              <w:fldChar w:fldCharType="end"/>
            </w:r>
          </w:p>
        </w:tc>
        <w:tc>
          <w:tcPr>
            <w:tcW w:w="0" w:type="auto"/>
            <w:shd w:val="pct10" w:color="auto" w:fill="auto"/>
            <w:vAlign w:val="center"/>
          </w:tcPr>
          <w:p w:rsidR="006448CC" w:rsidRPr="007F55C3" w:rsidRDefault="006448CC" w:rsidP="00B763FA">
            <w:pPr>
              <w:rPr>
                <w:rFonts w:ascii="Arial" w:hAnsi="Arial" w:cs="Arial"/>
                <w:sz w:val="20"/>
                <w:szCs w:val="20"/>
              </w:rPr>
            </w:pPr>
            <w:r w:rsidRPr="007F55C3">
              <w:rPr>
                <w:rFonts w:ascii="Arial" w:hAnsi="Arial" w:cs="Arial"/>
                <w:sz w:val="20"/>
                <w:szCs w:val="20"/>
              </w:rPr>
              <w:t>Ablehnung</w:t>
            </w:r>
          </w:p>
        </w:tc>
      </w:tr>
    </w:tbl>
    <w:p w:rsidR="006448CC" w:rsidRDefault="006448CC" w:rsidP="003859BE"/>
    <w:sectPr w:rsidR="006448CC" w:rsidSect="00B67A4A">
      <w:type w:val="continuous"/>
      <w:pgSz w:w="11906" w:h="16838" w:code="9"/>
      <w:pgMar w:top="782" w:right="851" w:bottom="1134" w:left="1985" w:header="284"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842" w:rsidRDefault="00956842">
      <w:r>
        <w:separator/>
      </w:r>
    </w:p>
  </w:endnote>
  <w:endnote w:type="continuationSeparator" w:id="0">
    <w:p w:rsidR="00956842" w:rsidRDefault="00956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842" w:rsidRDefault="00956842">
      <w:r>
        <w:separator/>
      </w:r>
    </w:p>
  </w:footnote>
  <w:footnote w:type="continuationSeparator" w:id="0">
    <w:p w:rsidR="00956842" w:rsidRDefault="009568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Ind w:w="-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0"/>
    </w:tblGrid>
    <w:tr w:rsidR="006448CC">
      <w:tc>
        <w:tcPr>
          <w:tcW w:w="9210" w:type="dxa"/>
          <w:tcBorders>
            <w:top w:val="nil"/>
            <w:left w:val="nil"/>
            <w:bottom w:val="single" w:sz="6" w:space="0" w:color="auto"/>
            <w:right w:val="nil"/>
          </w:tcBorders>
        </w:tcPr>
        <w:p w:rsidR="006448CC" w:rsidRDefault="006448CC">
          <w:pPr>
            <w:pStyle w:val="Kopfzeile"/>
            <w:jc w:val="right"/>
            <w:rPr>
              <w:rFonts w:ascii="Arial" w:hAnsi="Arial" w:cs="Arial"/>
              <w:b/>
              <w:bCs/>
              <w:sz w:val="20"/>
              <w:szCs w:val="20"/>
            </w:rPr>
          </w:pPr>
          <w:r>
            <w:rPr>
              <w:rFonts w:ascii="Arial" w:hAnsi="Arial" w:cs="Arial"/>
              <w:b/>
              <w:bCs/>
              <w:sz w:val="20"/>
              <w:szCs w:val="20"/>
            </w:rPr>
            <w:t xml:space="preserve">Seite </w:t>
          </w:r>
          <w:r>
            <w:rPr>
              <w:rFonts w:ascii="Arial" w:hAnsi="Arial" w:cs="Arial"/>
              <w:b/>
              <w:bCs/>
              <w:sz w:val="20"/>
              <w:szCs w:val="20"/>
            </w:rPr>
            <w:fldChar w:fldCharType="begin"/>
          </w:r>
          <w:r>
            <w:rPr>
              <w:rFonts w:ascii="Arial" w:hAnsi="Arial" w:cs="Arial"/>
              <w:b/>
              <w:bCs/>
              <w:sz w:val="20"/>
              <w:szCs w:val="20"/>
            </w:rPr>
            <w:instrText xml:space="preserve"> PAGE  \* MERGEFORMAT </w:instrText>
          </w:r>
          <w:r>
            <w:rPr>
              <w:rFonts w:ascii="Arial" w:hAnsi="Arial" w:cs="Arial"/>
              <w:b/>
              <w:bCs/>
              <w:sz w:val="20"/>
              <w:szCs w:val="20"/>
            </w:rPr>
            <w:fldChar w:fldCharType="separate"/>
          </w:r>
          <w:r w:rsidR="00414552">
            <w:rPr>
              <w:rFonts w:ascii="Arial" w:hAnsi="Arial" w:cs="Arial"/>
              <w:b/>
              <w:bCs/>
              <w:noProof/>
              <w:sz w:val="20"/>
              <w:szCs w:val="20"/>
            </w:rPr>
            <w:t>2</w:t>
          </w:r>
          <w:r>
            <w:rPr>
              <w:rFonts w:ascii="Arial" w:hAnsi="Arial" w:cs="Arial"/>
              <w:b/>
              <w:bCs/>
              <w:sz w:val="20"/>
              <w:szCs w:val="20"/>
            </w:rPr>
            <w:fldChar w:fldCharType="end"/>
          </w:r>
        </w:p>
      </w:tc>
    </w:tr>
  </w:tbl>
  <w:p w:rsidR="006448CC" w:rsidRDefault="006448CC">
    <w:pPr>
      <w:pStyle w:val="Kopfzeile"/>
      <w:rPr>
        <w:rFonts w:ascii="Arial" w:hAnsi="Arial" w:cs="Arial"/>
        <w:b/>
        <w:bCs/>
        <w:sz w:val="20"/>
        <w:szCs w:val="20"/>
      </w:rPr>
    </w:pPr>
  </w:p>
  <w:p w:rsidR="006448CC" w:rsidRDefault="006448CC">
    <w:pPr>
      <w:pStyle w:val="Kopfzeile"/>
      <w:jc w:val="right"/>
      <w:rPr>
        <w:rFonts w:ascii="Arial" w:hAnsi="Arial" w:cs="Arial"/>
        <w:b/>
        <w:bCs/>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autoHyphenation/>
  <w:hyphenationZone w:val="142"/>
  <w:doNotHyphenateCaps/>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37A"/>
    <w:rsid w:val="000211E9"/>
    <w:rsid w:val="00022160"/>
    <w:rsid w:val="00033D97"/>
    <w:rsid w:val="00044F9C"/>
    <w:rsid w:val="00084ED8"/>
    <w:rsid w:val="001013C6"/>
    <w:rsid w:val="00124049"/>
    <w:rsid w:val="00150511"/>
    <w:rsid w:val="00153E3E"/>
    <w:rsid w:val="00191C9A"/>
    <w:rsid w:val="001927A1"/>
    <w:rsid w:val="001B17BB"/>
    <w:rsid w:val="001C035F"/>
    <w:rsid w:val="001C341C"/>
    <w:rsid w:val="001E4B43"/>
    <w:rsid w:val="002119C3"/>
    <w:rsid w:val="0021652F"/>
    <w:rsid w:val="00253460"/>
    <w:rsid w:val="00260C52"/>
    <w:rsid w:val="0026732C"/>
    <w:rsid w:val="002A07AA"/>
    <w:rsid w:val="002B2525"/>
    <w:rsid w:val="002B4F6D"/>
    <w:rsid w:val="002D4E3E"/>
    <w:rsid w:val="002D67E1"/>
    <w:rsid w:val="002E1183"/>
    <w:rsid w:val="0031650D"/>
    <w:rsid w:val="003279FF"/>
    <w:rsid w:val="003749DD"/>
    <w:rsid w:val="003859BE"/>
    <w:rsid w:val="003A094E"/>
    <w:rsid w:val="003B5617"/>
    <w:rsid w:val="00414552"/>
    <w:rsid w:val="0043241B"/>
    <w:rsid w:val="00464F58"/>
    <w:rsid w:val="00500229"/>
    <w:rsid w:val="005127E5"/>
    <w:rsid w:val="00523D10"/>
    <w:rsid w:val="0053044B"/>
    <w:rsid w:val="0054650E"/>
    <w:rsid w:val="00573483"/>
    <w:rsid w:val="00574B16"/>
    <w:rsid w:val="005F0CE6"/>
    <w:rsid w:val="00606147"/>
    <w:rsid w:val="006235EC"/>
    <w:rsid w:val="006448CC"/>
    <w:rsid w:val="00686F32"/>
    <w:rsid w:val="006963A6"/>
    <w:rsid w:val="006C7BAF"/>
    <w:rsid w:val="00701FEE"/>
    <w:rsid w:val="007341CE"/>
    <w:rsid w:val="0076321E"/>
    <w:rsid w:val="00763536"/>
    <w:rsid w:val="00782588"/>
    <w:rsid w:val="007A6BCE"/>
    <w:rsid w:val="007D48D4"/>
    <w:rsid w:val="007D60E3"/>
    <w:rsid w:val="007D617D"/>
    <w:rsid w:val="007F1D77"/>
    <w:rsid w:val="007F55C3"/>
    <w:rsid w:val="00813DA4"/>
    <w:rsid w:val="0082001B"/>
    <w:rsid w:val="00827AAE"/>
    <w:rsid w:val="008956DA"/>
    <w:rsid w:val="008A4996"/>
    <w:rsid w:val="008D3099"/>
    <w:rsid w:val="008D72A5"/>
    <w:rsid w:val="008E3847"/>
    <w:rsid w:val="0093051B"/>
    <w:rsid w:val="00956842"/>
    <w:rsid w:val="00956E31"/>
    <w:rsid w:val="00986A3A"/>
    <w:rsid w:val="009B4D81"/>
    <w:rsid w:val="00A22BCA"/>
    <w:rsid w:val="00A357DF"/>
    <w:rsid w:val="00A54C5B"/>
    <w:rsid w:val="00A71566"/>
    <w:rsid w:val="00A84FE8"/>
    <w:rsid w:val="00AD6CF4"/>
    <w:rsid w:val="00AE167C"/>
    <w:rsid w:val="00B256EB"/>
    <w:rsid w:val="00B53F2F"/>
    <w:rsid w:val="00B67A4A"/>
    <w:rsid w:val="00B763FA"/>
    <w:rsid w:val="00B76CF0"/>
    <w:rsid w:val="00BC294E"/>
    <w:rsid w:val="00BC3AB2"/>
    <w:rsid w:val="00BD2808"/>
    <w:rsid w:val="00BE6692"/>
    <w:rsid w:val="00C162F1"/>
    <w:rsid w:val="00C3198A"/>
    <w:rsid w:val="00C57897"/>
    <w:rsid w:val="00CB6A63"/>
    <w:rsid w:val="00CF3E13"/>
    <w:rsid w:val="00D265E0"/>
    <w:rsid w:val="00D5639A"/>
    <w:rsid w:val="00D66357"/>
    <w:rsid w:val="00DA4881"/>
    <w:rsid w:val="00DB5229"/>
    <w:rsid w:val="00DC4262"/>
    <w:rsid w:val="00DE069D"/>
    <w:rsid w:val="00DE227A"/>
    <w:rsid w:val="00DE537A"/>
    <w:rsid w:val="00E60145"/>
    <w:rsid w:val="00EC6479"/>
    <w:rsid w:val="00ED0462"/>
    <w:rsid w:val="00EF0E72"/>
    <w:rsid w:val="00F17409"/>
    <w:rsid w:val="00F22F92"/>
    <w:rsid w:val="00F31792"/>
    <w:rsid w:val="00F34B3A"/>
    <w:rsid w:val="00FB0440"/>
    <w:rsid w:val="00FC0CC3"/>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CDF9831F-842B-466B-942E-28D86862D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de-DE" w:eastAsia="de-D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D4E3E"/>
    <w:rPr>
      <w:sz w:val="24"/>
      <w:szCs w:val="24"/>
    </w:rPr>
  </w:style>
  <w:style w:type="paragraph" w:styleId="berschrift1">
    <w:name w:val="heading 1"/>
    <w:basedOn w:val="Standard"/>
    <w:next w:val="Standard"/>
    <w:link w:val="berschrift1Zchn"/>
    <w:uiPriority w:val="99"/>
    <w:qFormat/>
    <w:rsid w:val="002D4E3E"/>
    <w:pPr>
      <w:keepNext/>
      <w:outlineLvl w:val="0"/>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BE6692"/>
    <w:rPr>
      <w:rFonts w:ascii="Cambria" w:hAnsi="Cambria" w:cs="Cambria"/>
      <w:b/>
      <w:bCs/>
      <w:kern w:val="32"/>
      <w:sz w:val="32"/>
      <w:szCs w:val="32"/>
    </w:rPr>
  </w:style>
  <w:style w:type="paragraph" w:styleId="Kopfzeile">
    <w:name w:val="header"/>
    <w:basedOn w:val="Standard"/>
    <w:link w:val="KopfzeileZchn"/>
    <w:uiPriority w:val="99"/>
    <w:rsid w:val="002D4E3E"/>
    <w:pPr>
      <w:tabs>
        <w:tab w:val="center" w:pos="4536"/>
        <w:tab w:val="right" w:pos="9072"/>
      </w:tabs>
    </w:pPr>
  </w:style>
  <w:style w:type="character" w:customStyle="1" w:styleId="KopfzeileZchn">
    <w:name w:val="Kopfzeile Zchn"/>
    <w:basedOn w:val="Absatz-Standardschriftart"/>
    <w:link w:val="Kopfzeile"/>
    <w:uiPriority w:val="99"/>
    <w:semiHidden/>
    <w:locked/>
    <w:rsid w:val="00BE6692"/>
    <w:rPr>
      <w:sz w:val="24"/>
      <w:szCs w:val="24"/>
    </w:rPr>
  </w:style>
  <w:style w:type="paragraph" w:styleId="Fuzeile">
    <w:name w:val="footer"/>
    <w:basedOn w:val="Standard"/>
    <w:link w:val="FuzeileZchn"/>
    <w:uiPriority w:val="99"/>
    <w:rsid w:val="002D4E3E"/>
    <w:pPr>
      <w:tabs>
        <w:tab w:val="center" w:pos="4536"/>
        <w:tab w:val="right" w:pos="9072"/>
      </w:tabs>
    </w:pPr>
  </w:style>
  <w:style w:type="character" w:customStyle="1" w:styleId="FuzeileZchn">
    <w:name w:val="Fußzeile Zchn"/>
    <w:basedOn w:val="Absatz-Standardschriftart"/>
    <w:link w:val="Fuzeile"/>
    <w:uiPriority w:val="99"/>
    <w:semiHidden/>
    <w:locked/>
    <w:rsid w:val="00BE6692"/>
    <w:rPr>
      <w:sz w:val="24"/>
      <w:szCs w:val="24"/>
    </w:rPr>
  </w:style>
  <w:style w:type="paragraph" w:styleId="Sprechblasentext">
    <w:name w:val="Balloon Text"/>
    <w:basedOn w:val="Standard"/>
    <w:link w:val="SprechblasentextZchn"/>
    <w:uiPriority w:val="99"/>
    <w:semiHidden/>
    <w:rsid w:val="007D48D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BE6692"/>
    <w:rPr>
      <w:sz w:val="2"/>
      <w:szCs w:val="2"/>
    </w:rPr>
  </w:style>
  <w:style w:type="table" w:styleId="Tabellenraster">
    <w:name w:val="Table Grid"/>
    <w:basedOn w:val="NormaleTabelle"/>
    <w:uiPriority w:val="99"/>
    <w:rsid w:val="007F55C3"/>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219</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Antragsformular für Bundesfrauenkonferenz</vt:lpstr>
    </vt:vector>
  </TitlesOfParts>
  <Company>GdP</Company>
  <LinksUpToDate>false</LinksUpToDate>
  <CharactersWithSpaces>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Antragsformular für Bundesfrauenkonferenz</dc:title>
  <dc:subject/>
  <dc:creator>Ruth Brunner</dc:creator>
  <cp:keywords/>
  <dc:description/>
  <cp:lastModifiedBy>admin</cp:lastModifiedBy>
  <cp:revision>5</cp:revision>
  <cp:lastPrinted>2009-09-08T15:05:00Z</cp:lastPrinted>
  <dcterms:created xsi:type="dcterms:W3CDTF">2018-01-28T11:13:00Z</dcterms:created>
  <dcterms:modified xsi:type="dcterms:W3CDTF">2018-03-09T09:42:00Z</dcterms:modified>
</cp:coreProperties>
</file>