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1"/>
        <w:gridCol w:w="3286"/>
      </w:tblGrid>
      <w:tr w:rsidR="006448CC" w:rsidTr="00D75D40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6731" w:type="dxa"/>
          </w:tcPr>
          <w:p w:rsidR="006448CC" w:rsidRDefault="00393C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 13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 w:rsidTr="00D75D40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6731" w:type="dxa"/>
          </w:tcPr>
          <w:p w:rsidR="006448CC" w:rsidRDefault="00D75D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KG </w:t>
            </w:r>
            <w:r w:rsidR="00393C76">
              <w:rPr>
                <w:rFonts w:ascii="Arial" w:hAnsi="Arial" w:cs="Arial"/>
                <w:b/>
                <w:bCs/>
              </w:rPr>
              <w:t xml:space="preserve">BKA </w:t>
            </w:r>
            <w:r>
              <w:rPr>
                <w:rFonts w:ascii="Arial" w:hAnsi="Arial" w:cs="Arial"/>
                <w:b/>
                <w:bCs/>
              </w:rPr>
              <w:t>Meckenheim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 w:rsidTr="00D75D40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6731" w:type="dxa"/>
          </w:tcPr>
          <w:p w:rsidR="006448CC" w:rsidRDefault="00D75D40" w:rsidP="005002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Änderung der gegenseitigen Verrechnung von Renten- und Ruhegehaltsansprüchen bei Versorgungsempfängern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69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D75D40" w:rsidRPr="007D48D4" w:rsidTr="00D75D40">
        <w:trPr>
          <w:cantSplit/>
          <w:trHeight w:hRule="exact" w:val="2382"/>
        </w:trPr>
        <w:tc>
          <w:tcPr>
            <w:tcW w:w="9426" w:type="dxa"/>
            <w:gridSpan w:val="3"/>
          </w:tcPr>
          <w:p w:rsidR="00D75D40" w:rsidRPr="00393C76" w:rsidRDefault="00D75D40" w:rsidP="00393C76">
            <w:pPr>
              <w:rPr>
                <w:rFonts w:ascii="Arial" w:hAnsi="Arial" w:cs="Arial"/>
                <w:iCs/>
              </w:rPr>
            </w:pPr>
            <w:r w:rsidRPr="00393C76">
              <w:rPr>
                <w:rFonts w:ascii="Arial" w:hAnsi="Arial" w:cs="Arial"/>
                <w:iCs/>
              </w:rPr>
              <w:t>Der Bundes</w:t>
            </w:r>
            <w:r w:rsidR="00393C76">
              <w:rPr>
                <w:rFonts w:ascii="Arial" w:hAnsi="Arial" w:cs="Arial"/>
                <w:iCs/>
              </w:rPr>
              <w:t>vorstand</w:t>
            </w:r>
            <w:r w:rsidRPr="00393C76">
              <w:rPr>
                <w:rFonts w:ascii="Arial" w:hAnsi="Arial" w:cs="Arial"/>
                <w:iCs/>
              </w:rPr>
              <w:t xml:space="preserve"> möge sich damit befassen, dass eine Änderung der gegenseitigen Verrechnung von Renten- und Ruhegehaltsansprüchen bei Versorgungsempfängern erfolgt. Entsprechend der Rentenleistung aus rentenversicherungspflichtigen Arbeitsverhältnissen und der Versorgungsansprüche aus dem Beamtenverhältnis soll eine </w:t>
            </w:r>
            <w:r w:rsidR="006E6E0E" w:rsidRPr="00393C76">
              <w:rPr>
                <w:rFonts w:ascii="Arial" w:hAnsi="Arial" w:cs="Arial"/>
                <w:iCs/>
              </w:rPr>
              <w:t xml:space="preserve">für die Zahlungsempfänger vorteilhaftere </w:t>
            </w:r>
            <w:r w:rsidRPr="00393C76">
              <w:rPr>
                <w:rFonts w:ascii="Arial" w:hAnsi="Arial" w:cs="Arial"/>
                <w:iCs/>
              </w:rPr>
              <w:t>separate Berechnung und Auszahlung – ohne Deckelung durch gegenseitige Verrechnung - erfolgen.</w:t>
            </w:r>
          </w:p>
        </w:tc>
      </w:tr>
      <w:tr w:rsidR="00D75D40" w:rsidTr="007261B0">
        <w:trPr>
          <w:trHeight w:val="559"/>
        </w:trPr>
        <w:tc>
          <w:tcPr>
            <w:tcW w:w="9426" w:type="dxa"/>
            <w:gridSpan w:val="3"/>
          </w:tcPr>
          <w:p w:rsidR="00D75D40" w:rsidRPr="003B5617" w:rsidRDefault="00D75D40" w:rsidP="00D75D4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D75D40" w:rsidRPr="007D48D4" w:rsidRDefault="00D75D40" w:rsidP="009B4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48CC" w:rsidRPr="00393C76" w:rsidRDefault="00D75D40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 xml:space="preserve">Die Höhe der Versorgung aus einem Beamtenverhältnis </w:t>
      </w:r>
      <w:r w:rsidR="00261F74" w:rsidRPr="00393C76">
        <w:rPr>
          <w:rFonts w:ascii="Arial" w:hAnsi="Arial" w:cs="Arial"/>
          <w:sz w:val="20"/>
          <w:szCs w:val="20"/>
        </w:rPr>
        <w:t>richtet sich u.a. nach den</w:t>
      </w:r>
      <w:r w:rsidRPr="00393C76">
        <w:rPr>
          <w:rFonts w:ascii="Arial" w:hAnsi="Arial" w:cs="Arial"/>
          <w:sz w:val="20"/>
          <w:szCs w:val="20"/>
        </w:rPr>
        <w:t xml:space="preserve"> geleisteten Dienstjahre</w:t>
      </w:r>
      <w:r w:rsidR="00261F74" w:rsidRPr="00393C76">
        <w:rPr>
          <w:rFonts w:ascii="Arial" w:hAnsi="Arial" w:cs="Arial"/>
          <w:sz w:val="20"/>
          <w:szCs w:val="20"/>
        </w:rPr>
        <w:t>n</w:t>
      </w:r>
      <w:r w:rsidRPr="00393C76">
        <w:rPr>
          <w:rFonts w:ascii="Arial" w:hAnsi="Arial" w:cs="Arial"/>
          <w:sz w:val="20"/>
          <w:szCs w:val="20"/>
        </w:rPr>
        <w:t>.</w:t>
      </w:r>
      <w:r w:rsidR="00261F74" w:rsidRPr="00393C76">
        <w:rPr>
          <w:rFonts w:ascii="Arial" w:hAnsi="Arial" w:cs="Arial"/>
          <w:sz w:val="20"/>
          <w:szCs w:val="20"/>
        </w:rPr>
        <w:t xml:space="preserve"> Sie ü</w:t>
      </w:r>
      <w:r w:rsidR="007261B0" w:rsidRPr="00393C76">
        <w:rPr>
          <w:rFonts w:ascii="Arial" w:hAnsi="Arial" w:cs="Arial"/>
          <w:sz w:val="20"/>
          <w:szCs w:val="20"/>
        </w:rPr>
        <w:t>bersteigt</w:t>
      </w:r>
      <w:r w:rsidR="00261F74" w:rsidRPr="00393C76">
        <w:rPr>
          <w:rFonts w:ascii="Arial" w:hAnsi="Arial" w:cs="Arial"/>
          <w:sz w:val="20"/>
          <w:szCs w:val="20"/>
        </w:rPr>
        <w:t xml:space="preserve"> i.d.R. nicht 71,75% des zugrundeliegenden Berechnungsgehaltes. Pensionäre die nicht 40/45 Dienstjahre erreichen, erhalten entsprechende Abschläge.</w:t>
      </w:r>
    </w:p>
    <w:p w:rsidR="00261F74" w:rsidRPr="00393C76" w:rsidRDefault="00261F74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Neben diesen „Regelfällen“ gibt es aber auch Kolleginnen/Kollegen, die neben ihrem beamtenrechtlichen Versorgungsanspruch noch Leistungen aus der gesetzlichen Rente erarbeitet haben. Diese Rentenansprüche werden dann mit den Versorgungsansprüchen verrechnet, kommen aber nicht über einen Höchstbetrag von 71,75% des maximalen Versorgungsanspruchs aus dem Beamtenverhältnis hinaus.</w:t>
      </w:r>
    </w:p>
    <w:p w:rsidR="00261F74" w:rsidRPr="00393C76" w:rsidRDefault="00261F74" w:rsidP="007261B0">
      <w:pPr>
        <w:jc w:val="both"/>
        <w:rPr>
          <w:rFonts w:ascii="Arial" w:hAnsi="Arial" w:cs="Arial"/>
          <w:sz w:val="20"/>
          <w:szCs w:val="20"/>
        </w:rPr>
      </w:pPr>
    </w:p>
    <w:p w:rsidR="006448CC" w:rsidRPr="00393C76" w:rsidRDefault="00261F74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 xml:space="preserve">Durch diese Verrechnung ergibt sich überwiegend für den Renten- und Versorgungsempfänger ein Entgeltnachteil. </w:t>
      </w:r>
    </w:p>
    <w:p w:rsidR="00261F74" w:rsidRPr="00393C76" w:rsidRDefault="00261F74" w:rsidP="007261B0">
      <w:pPr>
        <w:jc w:val="both"/>
        <w:rPr>
          <w:rFonts w:ascii="Arial" w:hAnsi="Arial" w:cs="Arial"/>
          <w:sz w:val="20"/>
          <w:szCs w:val="20"/>
        </w:rPr>
      </w:pPr>
    </w:p>
    <w:p w:rsidR="006448CC" w:rsidRPr="00393C76" w:rsidRDefault="00261F74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Beispiel:</w:t>
      </w:r>
    </w:p>
    <w:p w:rsidR="007261B0" w:rsidRPr="00393C76" w:rsidRDefault="007261B0" w:rsidP="007261B0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:rsidR="007261B0" w:rsidRPr="00393C76" w:rsidRDefault="007261B0" w:rsidP="007261B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>Regelfall</w:t>
      </w:r>
    </w:p>
    <w:p w:rsidR="00261F74" w:rsidRPr="00393C76" w:rsidRDefault="007261B0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Grundgehalt + Familienzuschlag</w:t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  <w:t>= 3.000€</w:t>
      </w:r>
    </w:p>
    <w:p w:rsidR="007261B0" w:rsidRPr="00393C76" w:rsidRDefault="007261B0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71,75% von 3.000€</w:t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="00BC1430" w:rsidRPr="00393C76">
        <w:rPr>
          <w:rFonts w:ascii="Arial" w:hAnsi="Arial" w:cs="Arial"/>
          <w:sz w:val="20"/>
          <w:szCs w:val="20"/>
        </w:rPr>
        <w:t>= 2.152</w:t>
      </w:r>
      <w:r w:rsidRPr="00393C76">
        <w:rPr>
          <w:rFonts w:ascii="Arial" w:hAnsi="Arial" w:cs="Arial"/>
          <w:sz w:val="20"/>
          <w:szCs w:val="20"/>
        </w:rPr>
        <w:t>€</w:t>
      </w:r>
      <w:r w:rsidR="00BC1430" w:rsidRPr="00393C76">
        <w:rPr>
          <w:rStyle w:val="Funotenzeichen"/>
          <w:rFonts w:ascii="Arial" w:hAnsi="Arial" w:cs="Arial"/>
          <w:sz w:val="20"/>
          <w:szCs w:val="20"/>
        </w:rPr>
        <w:footnoteReference w:id="1"/>
      </w:r>
    </w:p>
    <w:p w:rsidR="006448CC" w:rsidRPr="00393C76" w:rsidRDefault="006448CC" w:rsidP="007261B0">
      <w:pPr>
        <w:jc w:val="both"/>
        <w:rPr>
          <w:rFonts w:ascii="Arial" w:hAnsi="Arial" w:cs="Arial"/>
          <w:sz w:val="20"/>
          <w:szCs w:val="20"/>
        </w:rPr>
      </w:pPr>
    </w:p>
    <w:p w:rsidR="006448CC" w:rsidRPr="00393C76" w:rsidRDefault="007261B0" w:rsidP="00DF68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 xml:space="preserve">Der </w:t>
      </w:r>
      <w:r w:rsidR="00DF6869" w:rsidRPr="00393C76">
        <w:rPr>
          <w:rFonts w:ascii="Arial" w:hAnsi="Arial" w:cs="Arial"/>
          <w:b/>
          <w:bCs/>
          <w:sz w:val="20"/>
          <w:szCs w:val="20"/>
        </w:rPr>
        <w:t>Pensionär</w:t>
      </w:r>
      <w:r w:rsidRPr="00393C76">
        <w:rPr>
          <w:rFonts w:ascii="Arial" w:hAnsi="Arial" w:cs="Arial"/>
          <w:b/>
          <w:bCs/>
          <w:sz w:val="20"/>
          <w:szCs w:val="20"/>
        </w:rPr>
        <w:t xml:space="preserve"> erhält laut Beispiel 2152,50€ Pension.</w:t>
      </w:r>
    </w:p>
    <w:p w:rsidR="007261B0" w:rsidRPr="00393C76" w:rsidRDefault="007261B0" w:rsidP="007261B0">
      <w:pPr>
        <w:jc w:val="both"/>
        <w:rPr>
          <w:rFonts w:ascii="Arial" w:hAnsi="Arial" w:cs="Arial"/>
          <w:sz w:val="20"/>
          <w:szCs w:val="20"/>
        </w:rPr>
      </w:pPr>
    </w:p>
    <w:p w:rsidR="007261B0" w:rsidRPr="00393C76" w:rsidRDefault="00BC1430" w:rsidP="00BC143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 xml:space="preserve">Einzelbetrachtung eines </w:t>
      </w:r>
      <w:r w:rsidR="007261B0" w:rsidRPr="00393C76">
        <w:rPr>
          <w:rFonts w:ascii="Arial" w:hAnsi="Arial" w:cs="Arial"/>
          <w:b/>
          <w:bCs/>
          <w:sz w:val="20"/>
          <w:szCs w:val="20"/>
        </w:rPr>
        <w:t>Renten- und Versorgungsempfänger</w:t>
      </w:r>
      <w:r w:rsidRPr="00393C76">
        <w:rPr>
          <w:rFonts w:ascii="Arial" w:hAnsi="Arial" w:cs="Arial"/>
          <w:b/>
          <w:bCs/>
          <w:sz w:val="20"/>
          <w:szCs w:val="20"/>
        </w:rPr>
        <w:t>s</w:t>
      </w:r>
    </w:p>
    <w:p w:rsidR="007261B0" w:rsidRPr="00393C76" w:rsidRDefault="007261B0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Grundgehalt + Familienzuschlag</w:t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  <w:t>= 3.000€</w:t>
      </w:r>
    </w:p>
    <w:p w:rsidR="007261B0" w:rsidRPr="00393C76" w:rsidRDefault="007261B0" w:rsidP="007261B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66% da keine 40/45 Dienstjahre von 3.000€</w:t>
      </w:r>
      <w:r w:rsidRPr="00393C76">
        <w:rPr>
          <w:rFonts w:ascii="Arial" w:hAnsi="Arial" w:cs="Arial"/>
          <w:sz w:val="20"/>
          <w:szCs w:val="20"/>
        </w:rPr>
        <w:tab/>
      </w:r>
      <w:r w:rsidRPr="00393C76">
        <w:rPr>
          <w:rFonts w:ascii="Arial" w:hAnsi="Arial" w:cs="Arial"/>
          <w:sz w:val="20"/>
          <w:szCs w:val="20"/>
        </w:rPr>
        <w:tab/>
        <w:t>= 1.980€</w:t>
      </w:r>
    </w:p>
    <w:p w:rsidR="00DF6869" w:rsidRPr="00393C76" w:rsidRDefault="00DF6869" w:rsidP="007261B0">
      <w:pPr>
        <w:jc w:val="both"/>
        <w:rPr>
          <w:rFonts w:ascii="Arial" w:hAnsi="Arial" w:cs="Arial"/>
          <w:sz w:val="20"/>
          <w:szCs w:val="20"/>
        </w:rPr>
      </w:pPr>
    </w:p>
    <w:p w:rsidR="007261B0" w:rsidRPr="00393C76" w:rsidRDefault="00DF6869" w:rsidP="00DF6869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Der Pensionsanspruch beträgt aufgrund der Dienstjahre bei 66% =1980€</w:t>
      </w:r>
    </w:p>
    <w:p w:rsidR="00DF6869" w:rsidRPr="00393C76" w:rsidRDefault="00DF6869" w:rsidP="007261B0">
      <w:pPr>
        <w:jc w:val="both"/>
        <w:rPr>
          <w:rFonts w:ascii="Arial" w:hAnsi="Arial" w:cs="Arial"/>
          <w:sz w:val="20"/>
          <w:szCs w:val="20"/>
        </w:rPr>
      </w:pPr>
    </w:p>
    <w:p w:rsidR="006448CC" w:rsidRPr="00393C76" w:rsidRDefault="00DF6869" w:rsidP="00DF6869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 xml:space="preserve">RV-Ansprüche aus vorheriger </w:t>
      </w:r>
      <w:proofErr w:type="spellStart"/>
      <w:r w:rsidRPr="00393C76">
        <w:rPr>
          <w:rFonts w:ascii="Arial" w:hAnsi="Arial" w:cs="Arial"/>
          <w:sz w:val="20"/>
          <w:szCs w:val="20"/>
        </w:rPr>
        <w:t>rv</w:t>
      </w:r>
      <w:proofErr w:type="spellEnd"/>
      <w:r w:rsidRPr="00393C76">
        <w:rPr>
          <w:rFonts w:ascii="Arial" w:hAnsi="Arial" w:cs="Arial"/>
          <w:sz w:val="20"/>
          <w:szCs w:val="20"/>
        </w:rPr>
        <w:t>-pflichtiger Tätigkeit</w:t>
      </w:r>
      <w:r w:rsidRPr="00393C76">
        <w:rPr>
          <w:rFonts w:ascii="Arial" w:hAnsi="Arial" w:cs="Arial"/>
          <w:sz w:val="20"/>
          <w:szCs w:val="20"/>
        </w:rPr>
        <w:tab/>
        <w:t>=500€</w:t>
      </w:r>
    </w:p>
    <w:p w:rsidR="00DF6869" w:rsidRPr="00393C76" w:rsidRDefault="00DF6869" w:rsidP="007261B0">
      <w:pPr>
        <w:jc w:val="both"/>
        <w:rPr>
          <w:rFonts w:ascii="Arial" w:hAnsi="Arial" w:cs="Arial"/>
          <w:sz w:val="20"/>
          <w:szCs w:val="20"/>
        </w:rPr>
      </w:pPr>
    </w:p>
    <w:p w:rsidR="00DF6869" w:rsidRDefault="00DF6869" w:rsidP="00DF68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>Insgesamt erwartet der Renten-/Verso</w:t>
      </w:r>
      <w:r w:rsidR="00326D26" w:rsidRPr="00393C76">
        <w:rPr>
          <w:rFonts w:ascii="Arial" w:hAnsi="Arial" w:cs="Arial"/>
          <w:b/>
          <w:bCs/>
          <w:sz w:val="20"/>
          <w:szCs w:val="20"/>
        </w:rPr>
        <w:t>rgungsempfänger rechnerisch 2.48</w:t>
      </w:r>
      <w:r w:rsidRPr="00393C76">
        <w:rPr>
          <w:rFonts w:ascii="Arial" w:hAnsi="Arial" w:cs="Arial"/>
          <w:b/>
          <w:bCs/>
          <w:sz w:val="20"/>
          <w:szCs w:val="20"/>
        </w:rPr>
        <w:t>0€</w:t>
      </w:r>
    </w:p>
    <w:p w:rsidR="00393C76" w:rsidRDefault="00393C76" w:rsidP="00DF68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93C76" w:rsidRDefault="00393C76" w:rsidP="00DF68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93C76" w:rsidRDefault="00393C76" w:rsidP="00DF68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93C76" w:rsidRPr="00393C76" w:rsidRDefault="00393C76" w:rsidP="00DF68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6869" w:rsidRPr="00393C76" w:rsidRDefault="00BC1430" w:rsidP="00BC1430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lastRenderedPageBreak/>
        <w:t>Tatsächliche Zahlung an Renten-/Versorgungsempfänger</w:t>
      </w:r>
    </w:p>
    <w:p w:rsidR="006448CC" w:rsidRPr="00393C76" w:rsidRDefault="00DF6869" w:rsidP="00BC143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Der Renten-/Versorgungsempfänger</w:t>
      </w:r>
      <w:r w:rsidR="00BC1430" w:rsidRPr="00393C76">
        <w:rPr>
          <w:rFonts w:ascii="Arial" w:hAnsi="Arial" w:cs="Arial"/>
          <w:sz w:val="20"/>
          <w:szCs w:val="20"/>
        </w:rPr>
        <w:t xml:space="preserve"> (Pension 66%)</w:t>
      </w:r>
      <w:r w:rsidRPr="00393C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3C76">
        <w:rPr>
          <w:rFonts w:ascii="Arial" w:hAnsi="Arial" w:cs="Arial"/>
          <w:sz w:val="20"/>
          <w:szCs w:val="20"/>
        </w:rPr>
        <w:t xml:space="preserve">erhält aber aufgrund der gegenseitigen Verrechnung von Rente und Pension eine wesentlich geringere Zahlung als dies bei </w:t>
      </w:r>
      <w:r w:rsidR="00BC1430" w:rsidRPr="00393C76">
        <w:rPr>
          <w:rFonts w:ascii="Arial" w:hAnsi="Arial" w:cs="Arial"/>
          <w:sz w:val="20"/>
          <w:szCs w:val="20"/>
        </w:rPr>
        <w:t>einzelner</w:t>
      </w:r>
      <w:r w:rsidRPr="00393C76">
        <w:rPr>
          <w:rFonts w:ascii="Arial" w:hAnsi="Arial" w:cs="Arial"/>
          <w:sz w:val="20"/>
          <w:szCs w:val="20"/>
        </w:rPr>
        <w:t xml:space="preserve"> Betrachtung erfolgt.</w:t>
      </w:r>
    </w:p>
    <w:p w:rsidR="00DF6869" w:rsidRDefault="00DF6869" w:rsidP="00DF6869">
      <w:pPr>
        <w:jc w:val="both"/>
        <w:rPr>
          <w:rFonts w:ascii="Arial" w:hAnsi="Arial" w:cs="Arial"/>
          <w:sz w:val="22"/>
          <w:szCs w:val="22"/>
        </w:rPr>
      </w:pPr>
    </w:p>
    <w:p w:rsidR="00DF6869" w:rsidRPr="00393C76" w:rsidRDefault="00DF6869" w:rsidP="00BC1430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Es werden vom fiktiven max. P</w:t>
      </w:r>
      <w:r w:rsidR="00BC1430" w:rsidRPr="00393C76">
        <w:rPr>
          <w:rFonts w:ascii="Arial" w:hAnsi="Arial" w:cs="Arial"/>
          <w:sz w:val="20"/>
          <w:szCs w:val="20"/>
        </w:rPr>
        <w:t>ensionsanspruch 71,75% = 2.152</w:t>
      </w:r>
      <w:r w:rsidRPr="00393C76">
        <w:rPr>
          <w:rFonts w:ascii="Arial" w:hAnsi="Arial" w:cs="Arial"/>
          <w:sz w:val="20"/>
          <w:szCs w:val="20"/>
        </w:rPr>
        <w:t xml:space="preserve">€ die Rente i.H. von 500€ abgezogen = </w:t>
      </w:r>
      <w:r w:rsidR="00BC1430" w:rsidRPr="00393C76">
        <w:rPr>
          <w:rFonts w:ascii="Arial" w:hAnsi="Arial" w:cs="Arial"/>
          <w:sz w:val="20"/>
          <w:szCs w:val="20"/>
        </w:rPr>
        <w:t>1.652€</w:t>
      </w:r>
    </w:p>
    <w:p w:rsidR="006448CC" w:rsidRPr="00393C76" w:rsidRDefault="006448CC" w:rsidP="007261B0">
      <w:pPr>
        <w:jc w:val="both"/>
        <w:rPr>
          <w:rFonts w:ascii="Arial" w:hAnsi="Arial" w:cs="Arial"/>
          <w:sz w:val="20"/>
          <w:szCs w:val="20"/>
        </w:rPr>
      </w:pPr>
    </w:p>
    <w:p w:rsidR="006448CC" w:rsidRPr="00393C76" w:rsidRDefault="00BC1430" w:rsidP="007261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>Der Renten-/Versorgungsempfänger erhält insgesamt 2.152€.</w:t>
      </w:r>
    </w:p>
    <w:p w:rsidR="00BC1430" w:rsidRPr="00393C76" w:rsidRDefault="00BC1430" w:rsidP="00F43AFD">
      <w:pPr>
        <w:pStyle w:val="Listenabsatz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F43AFD" w:rsidRPr="00393C76" w:rsidRDefault="00F43AFD" w:rsidP="00F43AFD">
      <w:pPr>
        <w:pStyle w:val="Listenabsatz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>Ergebnis:</w:t>
      </w:r>
    </w:p>
    <w:p w:rsidR="006448CC" w:rsidRPr="00393C76" w:rsidRDefault="00BC1430" w:rsidP="00F43A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 xml:space="preserve">Bei Einzelbetrachtung und Zahlung würde der Renten-/Versorgungsempfänger 2.490€ </w:t>
      </w:r>
      <w:r w:rsidR="00882BEA" w:rsidRPr="00393C76">
        <w:rPr>
          <w:rFonts w:ascii="Arial" w:hAnsi="Arial" w:cs="Arial"/>
          <w:sz w:val="20"/>
          <w:szCs w:val="20"/>
        </w:rPr>
        <w:t xml:space="preserve">und nicht die tatsächlichen 2.152€ </w:t>
      </w:r>
      <w:r w:rsidRPr="00393C76">
        <w:rPr>
          <w:rFonts w:ascii="Arial" w:hAnsi="Arial" w:cs="Arial"/>
          <w:sz w:val="20"/>
          <w:szCs w:val="20"/>
        </w:rPr>
        <w:t xml:space="preserve">erhalten. </w:t>
      </w:r>
      <w:r w:rsidRPr="00393C76">
        <w:rPr>
          <w:rFonts w:ascii="Arial" w:hAnsi="Arial" w:cs="Arial"/>
          <w:b/>
          <w:bCs/>
          <w:sz w:val="20"/>
          <w:szCs w:val="20"/>
        </w:rPr>
        <w:t xml:space="preserve">Es </w:t>
      </w:r>
      <w:r w:rsidR="00F43AFD" w:rsidRPr="00393C76">
        <w:rPr>
          <w:rFonts w:ascii="Arial" w:hAnsi="Arial" w:cs="Arial"/>
          <w:b/>
          <w:bCs/>
          <w:sz w:val="20"/>
          <w:szCs w:val="20"/>
        </w:rPr>
        <w:t>kommen</w:t>
      </w:r>
      <w:r w:rsidRPr="00393C76">
        <w:rPr>
          <w:rFonts w:ascii="Arial" w:hAnsi="Arial" w:cs="Arial"/>
          <w:b/>
          <w:bCs/>
          <w:sz w:val="20"/>
          <w:szCs w:val="20"/>
        </w:rPr>
        <w:t xml:space="preserve"> demnach 248€ nicht </w:t>
      </w:r>
      <w:r w:rsidR="00F43AFD" w:rsidRPr="00393C76">
        <w:rPr>
          <w:rFonts w:ascii="Arial" w:hAnsi="Arial" w:cs="Arial"/>
          <w:b/>
          <w:bCs/>
          <w:sz w:val="20"/>
          <w:szCs w:val="20"/>
        </w:rPr>
        <w:t>dem</w:t>
      </w:r>
      <w:r w:rsidRPr="00393C76">
        <w:rPr>
          <w:rFonts w:ascii="Arial" w:hAnsi="Arial" w:cs="Arial"/>
          <w:b/>
          <w:bCs/>
          <w:sz w:val="20"/>
          <w:szCs w:val="20"/>
        </w:rPr>
        <w:t xml:space="preserve"> Leistungsempfänger </w:t>
      </w:r>
      <w:r w:rsidR="00F43AFD" w:rsidRPr="00393C76">
        <w:rPr>
          <w:rFonts w:ascii="Arial" w:hAnsi="Arial" w:cs="Arial"/>
          <w:b/>
          <w:bCs/>
          <w:sz w:val="20"/>
          <w:szCs w:val="20"/>
        </w:rPr>
        <w:t>zugute</w:t>
      </w:r>
      <w:r w:rsidRPr="00393C76">
        <w:rPr>
          <w:rFonts w:ascii="Arial" w:hAnsi="Arial" w:cs="Arial"/>
          <w:b/>
          <w:bCs/>
          <w:sz w:val="20"/>
          <w:szCs w:val="20"/>
        </w:rPr>
        <w:t>.</w:t>
      </w:r>
    </w:p>
    <w:p w:rsidR="006448CC" w:rsidRPr="00393C76" w:rsidRDefault="006448CC" w:rsidP="007261B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43AFD" w:rsidRPr="00393C76" w:rsidRDefault="00F43AFD" w:rsidP="00F43AFD">
      <w:pPr>
        <w:jc w:val="both"/>
        <w:rPr>
          <w:rFonts w:ascii="Arial" w:hAnsi="Arial" w:cs="Arial"/>
          <w:sz w:val="20"/>
          <w:szCs w:val="20"/>
        </w:rPr>
      </w:pPr>
      <w:r w:rsidRPr="00393C76">
        <w:rPr>
          <w:rFonts w:ascii="Arial" w:hAnsi="Arial" w:cs="Arial"/>
          <w:sz w:val="20"/>
          <w:szCs w:val="20"/>
        </w:rPr>
        <w:t>Legt man dann auch noch die berechnete Pension i.H. von 1.652€ (Ziff.3) zugrunde ergibt dies eine prozentuales Ruhegehalt von 55%. Das sind 11% weniger als das tatsächlich erarbeitete Ruhegehalt.</w:t>
      </w:r>
    </w:p>
    <w:p w:rsidR="00F43AFD" w:rsidRPr="00393C76" w:rsidRDefault="00F43AFD" w:rsidP="00F43AFD">
      <w:pPr>
        <w:jc w:val="both"/>
        <w:rPr>
          <w:rFonts w:ascii="Arial" w:hAnsi="Arial" w:cs="Arial"/>
          <w:sz w:val="20"/>
          <w:szCs w:val="20"/>
        </w:rPr>
      </w:pPr>
    </w:p>
    <w:p w:rsidR="00BC1430" w:rsidRPr="00393C76" w:rsidRDefault="00BC1430" w:rsidP="007261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>Fazit:</w:t>
      </w:r>
    </w:p>
    <w:p w:rsidR="006448CC" w:rsidRPr="00393C76" w:rsidRDefault="00BC1430" w:rsidP="00BC143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C76">
        <w:rPr>
          <w:rFonts w:ascii="Arial" w:hAnsi="Arial" w:cs="Arial"/>
          <w:b/>
          <w:bCs/>
          <w:sz w:val="20"/>
          <w:szCs w:val="20"/>
        </w:rPr>
        <w:t xml:space="preserve">Ein Verzicht auf einen Leistungsanspruch in Höhe von 248€ ist aus gewerkschaftspolitischer Sicht nicht hinnehmbar. Insbesondere da die </w:t>
      </w:r>
      <w:proofErr w:type="spellStart"/>
      <w:r w:rsidRPr="00393C76">
        <w:rPr>
          <w:rFonts w:ascii="Arial" w:hAnsi="Arial" w:cs="Arial"/>
          <w:b/>
          <w:bCs/>
          <w:sz w:val="20"/>
          <w:szCs w:val="20"/>
        </w:rPr>
        <w:t>rv</w:t>
      </w:r>
      <w:proofErr w:type="spellEnd"/>
      <w:r w:rsidRPr="00393C76">
        <w:rPr>
          <w:rFonts w:ascii="Arial" w:hAnsi="Arial" w:cs="Arial"/>
          <w:b/>
          <w:bCs/>
          <w:sz w:val="20"/>
          <w:szCs w:val="20"/>
        </w:rPr>
        <w:t xml:space="preserve">-pflichtigen Beiträge ja gezahlt wurden. </w:t>
      </w:r>
      <w:r w:rsidR="00F43AFD" w:rsidRPr="00393C76">
        <w:rPr>
          <w:rFonts w:ascii="Arial" w:hAnsi="Arial" w:cs="Arial"/>
          <w:b/>
          <w:bCs/>
          <w:sz w:val="20"/>
          <w:szCs w:val="20"/>
        </w:rPr>
        <w:t xml:space="preserve">Die „Schlechterstellung“ bei der Berechnung der tatsächlichen ruhegehaltsfähigen Dienstjahre durch Einberechnung von Rentenzahlungen verstößt </w:t>
      </w:r>
      <w:proofErr w:type="spellStart"/>
      <w:r w:rsidR="00F43AFD" w:rsidRPr="00393C76">
        <w:rPr>
          <w:rFonts w:ascii="Arial" w:hAnsi="Arial" w:cs="Arial"/>
          <w:b/>
          <w:bCs/>
          <w:sz w:val="20"/>
          <w:szCs w:val="20"/>
        </w:rPr>
        <w:t>h.E</w:t>
      </w:r>
      <w:proofErr w:type="spellEnd"/>
      <w:r w:rsidR="00F43AFD" w:rsidRPr="00393C76">
        <w:rPr>
          <w:rFonts w:ascii="Arial" w:hAnsi="Arial" w:cs="Arial"/>
          <w:b/>
          <w:bCs/>
          <w:sz w:val="20"/>
          <w:szCs w:val="20"/>
        </w:rPr>
        <w:t xml:space="preserve">. gegen den Gleichbehandlungsgrundsatz. </w:t>
      </w:r>
      <w:r w:rsidRPr="00393C76">
        <w:rPr>
          <w:rFonts w:ascii="Arial" w:hAnsi="Arial" w:cs="Arial"/>
          <w:b/>
          <w:bCs/>
          <w:sz w:val="20"/>
          <w:szCs w:val="20"/>
        </w:rPr>
        <w:t>Eine Änderung des Berechnungsmodells ist daher dringend geboten.</w:t>
      </w:r>
    </w:p>
    <w:p w:rsidR="006448CC" w:rsidRPr="00393C76" w:rsidRDefault="006448CC" w:rsidP="007261B0">
      <w:pPr>
        <w:jc w:val="both"/>
        <w:rPr>
          <w:rFonts w:ascii="Arial" w:hAnsi="Arial" w:cs="Arial"/>
          <w:sz w:val="20"/>
          <w:szCs w:val="20"/>
        </w:rPr>
      </w:pPr>
    </w:p>
    <w:p w:rsidR="006448CC" w:rsidRPr="007261B0" w:rsidRDefault="006448CC" w:rsidP="007261B0">
      <w:pPr>
        <w:jc w:val="both"/>
        <w:rPr>
          <w:rFonts w:ascii="Arial" w:hAnsi="Arial" w:cs="Arial"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393C76" w:rsidRDefault="00393C76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67">
              <w:rPr>
                <w:rFonts w:ascii="Arial" w:hAnsi="Arial" w:cs="Arial"/>
                <w:sz w:val="20"/>
                <w:szCs w:val="20"/>
              </w:rPr>
            </w:r>
            <w:r w:rsidR="00D432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headerReference w:type="default" r:id="rId8"/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67" w:rsidRDefault="00D43267">
      <w:r>
        <w:separator/>
      </w:r>
    </w:p>
  </w:endnote>
  <w:endnote w:type="continuationSeparator" w:id="0">
    <w:p w:rsidR="00D43267" w:rsidRDefault="00D4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67" w:rsidRDefault="00D43267">
      <w:r>
        <w:separator/>
      </w:r>
    </w:p>
  </w:footnote>
  <w:footnote w:type="continuationSeparator" w:id="0">
    <w:p w:rsidR="00D43267" w:rsidRDefault="00D43267">
      <w:r>
        <w:continuationSeparator/>
      </w:r>
    </w:p>
  </w:footnote>
  <w:footnote w:id="1">
    <w:p w:rsidR="00BC1430" w:rsidRDefault="00BC1430">
      <w:pPr>
        <w:pStyle w:val="Funotentext"/>
      </w:pPr>
      <w:r>
        <w:rPr>
          <w:rStyle w:val="Funotenzeichen"/>
        </w:rPr>
        <w:footnoteRef/>
      </w:r>
      <w:r>
        <w:t xml:space="preserve"> gerundet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93C76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C6D"/>
    <w:multiLevelType w:val="hybridMultilevel"/>
    <w:tmpl w:val="A4A6126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833397"/>
    <w:multiLevelType w:val="hybridMultilevel"/>
    <w:tmpl w:val="389E7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064E1"/>
    <w:rsid w:val="00033D97"/>
    <w:rsid w:val="00044F9C"/>
    <w:rsid w:val="00084ED8"/>
    <w:rsid w:val="00106774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652F"/>
    <w:rsid w:val="00253460"/>
    <w:rsid w:val="00260C52"/>
    <w:rsid w:val="00261F74"/>
    <w:rsid w:val="0026732C"/>
    <w:rsid w:val="002A07AA"/>
    <w:rsid w:val="002B2525"/>
    <w:rsid w:val="002B4F6D"/>
    <w:rsid w:val="002D4E3E"/>
    <w:rsid w:val="002D67E1"/>
    <w:rsid w:val="002E1183"/>
    <w:rsid w:val="0031650D"/>
    <w:rsid w:val="00326D26"/>
    <w:rsid w:val="003279FF"/>
    <w:rsid w:val="003749DD"/>
    <w:rsid w:val="003859BE"/>
    <w:rsid w:val="00393C76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448CC"/>
    <w:rsid w:val="00686F32"/>
    <w:rsid w:val="006963A6"/>
    <w:rsid w:val="006C7BAF"/>
    <w:rsid w:val="006E6E0E"/>
    <w:rsid w:val="00701FEE"/>
    <w:rsid w:val="007261B0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7733E"/>
    <w:rsid w:val="00882BEA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4C5B"/>
    <w:rsid w:val="00A71566"/>
    <w:rsid w:val="00A84FE8"/>
    <w:rsid w:val="00AD6CF4"/>
    <w:rsid w:val="00AE167C"/>
    <w:rsid w:val="00B20715"/>
    <w:rsid w:val="00B256EB"/>
    <w:rsid w:val="00B53F2F"/>
    <w:rsid w:val="00B67A4A"/>
    <w:rsid w:val="00B763FA"/>
    <w:rsid w:val="00B76CF0"/>
    <w:rsid w:val="00BC1430"/>
    <w:rsid w:val="00BC294E"/>
    <w:rsid w:val="00BC3AB2"/>
    <w:rsid w:val="00BD2808"/>
    <w:rsid w:val="00BE6692"/>
    <w:rsid w:val="00C162F1"/>
    <w:rsid w:val="00C3198A"/>
    <w:rsid w:val="00C57897"/>
    <w:rsid w:val="00CB6A63"/>
    <w:rsid w:val="00CD5D62"/>
    <w:rsid w:val="00CF3E13"/>
    <w:rsid w:val="00D43267"/>
    <w:rsid w:val="00D5639A"/>
    <w:rsid w:val="00D66357"/>
    <w:rsid w:val="00D75D40"/>
    <w:rsid w:val="00DA4881"/>
    <w:rsid w:val="00DB5229"/>
    <w:rsid w:val="00DC4262"/>
    <w:rsid w:val="00DE069D"/>
    <w:rsid w:val="00DE537A"/>
    <w:rsid w:val="00DF6869"/>
    <w:rsid w:val="00EC6479"/>
    <w:rsid w:val="00ED0462"/>
    <w:rsid w:val="00EF0E72"/>
    <w:rsid w:val="00F17409"/>
    <w:rsid w:val="00F22F92"/>
    <w:rsid w:val="00F31792"/>
    <w:rsid w:val="00F34B3A"/>
    <w:rsid w:val="00F43AFD"/>
    <w:rsid w:val="00FA5B2E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03BA2-5CF5-49C6-BC27-DBA6BDEF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7261B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C143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4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1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0D9C-BBBA-442F-8BD6-E6DE7AB9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Ruth Brunner</dc:creator>
  <cp:lastModifiedBy>admin</cp:lastModifiedBy>
  <cp:revision>3</cp:revision>
  <cp:lastPrinted>2009-09-08T15:05:00Z</cp:lastPrinted>
  <dcterms:created xsi:type="dcterms:W3CDTF">2018-02-14T12:50:00Z</dcterms:created>
  <dcterms:modified xsi:type="dcterms:W3CDTF">2018-03-09T10:31:00Z</dcterms:modified>
</cp:coreProperties>
</file>